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media/image10.svg" ContentType="image/svg+xml"/>
  <Override PartName="/word/media/image12.svg" ContentType="image/svg+xml"/>
  <Override PartName="/word/media/image14.svg" ContentType="image/svg+xml"/>
  <Override PartName="/word/media/image2.svg" ContentType="image/svg+xml"/>
  <Override PartName="/word/media/image4.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B91CC">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方正小标宋简体" w:hAnsi="方正小标宋简体" w:eastAsia="方正小标宋简体" w:cs="方正小标宋简体"/>
        </w:rPr>
      </w:pPr>
      <w:bookmarkStart w:id="83" w:name="_GoBack"/>
      <w:bookmarkEnd w:id="83"/>
      <w:r>
        <w:rPr>
          <w:rFonts w:hint="eastAsia" w:ascii="方正小标宋简体" w:hAnsi="方正小标宋简体" w:eastAsia="方正小标宋简体" w:cs="方正小标宋简体"/>
          <w:b/>
          <w:sz w:val="36"/>
        </w:rPr>
        <w:t>北方民族大学学生综合素质评价权重结构、排序效应与制度优化研究</w:t>
      </w:r>
    </w:p>
    <w:p w14:paraId="3F850CA9">
      <w:pPr>
        <w:keepNext w:val="0"/>
        <w:keepLines w:val="0"/>
        <w:pageBreakBefore w:val="0"/>
        <w:widowControl/>
        <w:kinsoku/>
        <w:wordWrap/>
        <w:overflowPunct/>
        <w:topLinePunct w:val="0"/>
        <w:autoSpaceDE/>
        <w:autoSpaceDN/>
        <w:bidi w:val="0"/>
        <w:adjustRightInd/>
        <w:snapToGrid/>
        <w:spacing w:before="181" w:beforeLines="50"/>
        <w:ind w:firstLine="0"/>
        <w:jc w:val="center"/>
        <w:textAlignment w:val="auto"/>
      </w:pPr>
      <w:r>
        <w:rPr>
          <w:rFonts w:eastAsia="黑体" w:cs="Times New Roman"/>
          <w:b/>
          <w:sz w:val="32"/>
        </w:rPr>
        <w:t>摘</w:t>
      </w:r>
      <w:r>
        <w:rPr>
          <w:rFonts w:hint="eastAsia" w:eastAsia="黑体" w:cs="Times New Roman"/>
          <w:b/>
          <w:sz w:val="32"/>
          <w:lang w:val="en-US" w:eastAsia="zh-CN"/>
        </w:rPr>
        <w:t xml:space="preserve">  </w:t>
      </w:r>
      <w:r>
        <w:rPr>
          <w:rFonts w:eastAsia="黑体" w:cs="Times New Roman"/>
          <w:b/>
          <w:sz w:val="32"/>
        </w:rPr>
        <w:t>要</w:t>
      </w:r>
    </w:p>
    <w:p w14:paraId="6E438928">
      <w:pPr>
        <w:spacing w:after="60" w:line="288" w:lineRule="auto"/>
      </w:pPr>
      <w:r>
        <w:rPr>
          <w:rFonts w:cs="Times New Roman"/>
        </w:rPr>
        <w:t>针对北方民族大学学生综合素质评价中智育、德育与发展素质权重设置对学生排序产生的影响，本文以具有完整或近完整参评母集证据的化工、法学院和计算机学院共2364名学生、17个排序单元为正式主样本，并以加入生科5个有效专业单元后的2692名学生、22个排序单元进行</w:t>
      </w:r>
      <w:r>
        <w:rPr>
          <w:rFonts w:cs="Times New Roman"/>
          <w:b/>
          <w:bCs/>
        </w:rPr>
        <w:t>敏感性检验，构建排序效应分析、固定成绩反事实模拟、多目标共同可行域与Pareto非支配分析框架</w:t>
      </w:r>
      <w:r>
        <w:rPr>
          <w:rFonts w:cs="Times New Roman"/>
        </w:rPr>
        <w:t>，对现行权重结构及其优化方案进行研究。</w:t>
      </w:r>
    </w:p>
    <w:p w14:paraId="2FF1B499">
      <w:pPr>
        <w:spacing w:after="60" w:line="288" w:lineRule="auto"/>
      </w:pPr>
      <w:r>
        <w:rPr>
          <w:rFonts w:cs="Times New Roman"/>
        </w:rPr>
        <w:t>首先，</w:t>
      </w:r>
      <w:r>
        <w:rPr>
          <w:rFonts w:hint="eastAsia" w:cs="Times New Roman"/>
          <w:lang w:val="en-US" w:eastAsia="zh-CN"/>
        </w:rPr>
        <w:t>本文</w:t>
      </w:r>
      <w:r>
        <w:rPr>
          <w:rFonts w:cs="Times New Roman"/>
        </w:rPr>
        <w:t>采用成对排序逆转和Top20集合变化衡量现行综合评价的排序效应。结果表明，正式主样本总体严格逆转率为</w:t>
      </w:r>
      <w:r>
        <w:rPr>
          <w:rFonts w:cs="Times New Roman"/>
          <w:b/>
          <w:bCs/>
        </w:rPr>
        <w:t>11.83%</w:t>
      </w:r>
      <w:r>
        <w:rPr>
          <w:rFonts w:cs="Times New Roman"/>
        </w:rPr>
        <w:t>，智育分差5—10分学生对的逆转率为</w:t>
      </w:r>
      <w:r>
        <w:rPr>
          <w:rFonts w:cs="Times New Roman"/>
          <w:b/>
          <w:bCs/>
        </w:rPr>
        <w:t>11.25%</w:t>
      </w:r>
      <w:r>
        <w:rPr>
          <w:rFonts w:cs="Times New Roman"/>
        </w:rPr>
        <w:t>，智育Top20流失率为</w:t>
      </w:r>
      <w:r>
        <w:rPr>
          <w:rFonts w:cs="Times New Roman"/>
          <w:b/>
          <w:bCs/>
        </w:rPr>
        <w:t>25.41%</w:t>
      </w:r>
      <w:r>
        <w:rPr>
          <w:rFonts w:cs="Times New Roman"/>
        </w:rPr>
        <w:t>，说明现行评价对学业次序和头部名单均产生较明显重构。</w:t>
      </w:r>
      <w:r>
        <w:rPr>
          <w:rFonts w:hint="eastAsia" w:cs="Times New Roman"/>
          <w:lang w:val="en-US" w:eastAsia="zh-CN"/>
        </w:rPr>
        <w:t>本文</w:t>
      </w:r>
      <w:r>
        <w:rPr>
          <w:rFonts w:cs="Times New Roman"/>
        </w:rPr>
        <w:t>进一步在保持学生原始成绩不变的条件下调整权重，发现</w:t>
      </w:r>
      <w:r>
        <w:rPr>
          <w:rFonts w:cs="Times New Roman"/>
          <w:b/>
          <w:bCs/>
        </w:rPr>
        <w:t>非智育连续权重同比减少5个百分点后</w:t>
      </w:r>
      <w:r>
        <w:rPr>
          <w:rFonts w:cs="Times New Roman"/>
        </w:rPr>
        <w:t>，总体逆转率降至</w:t>
      </w:r>
      <w:r>
        <w:rPr>
          <w:rFonts w:cs="Times New Roman"/>
          <w:b/>
          <w:bCs/>
        </w:rPr>
        <w:t>9.96%</w:t>
      </w:r>
      <w:r>
        <w:rPr>
          <w:rFonts w:cs="Times New Roman"/>
        </w:rPr>
        <w:t>，5—10分逆转率降至</w:t>
      </w:r>
      <w:r>
        <w:rPr>
          <w:rFonts w:cs="Times New Roman"/>
          <w:b/>
          <w:bCs/>
        </w:rPr>
        <w:t>7.76%</w:t>
      </w:r>
      <w:r>
        <w:rPr>
          <w:rFonts w:cs="Times New Roman"/>
        </w:rPr>
        <w:t>，但严格核心学院最低补偿留存率降至</w:t>
      </w:r>
      <w:r>
        <w:rPr>
          <w:rFonts w:cs="Times New Roman"/>
          <w:b/>
          <w:bCs/>
        </w:rPr>
        <w:t>82.61%</w:t>
      </w:r>
      <w:r>
        <w:rPr>
          <w:rFonts w:cs="Times New Roman"/>
        </w:rPr>
        <w:t>，表明学业稳定性改善与原有非智育补偿成员留存之间存在明显权衡。</w:t>
      </w:r>
    </w:p>
    <w:p w14:paraId="66AA2F2A">
      <w:pPr>
        <w:spacing w:after="60" w:line="288" w:lineRule="auto"/>
      </w:pPr>
      <w:r>
        <w:rPr>
          <w:rFonts w:cs="Times New Roman"/>
        </w:rPr>
        <w:t>进一步，</w:t>
      </w:r>
      <w:r>
        <w:rPr>
          <w:rFonts w:hint="eastAsia" w:cs="Times New Roman"/>
          <w:lang w:val="en-US" w:eastAsia="zh-CN"/>
        </w:rPr>
        <w:t>本文</w:t>
      </w:r>
      <w:r>
        <w:rPr>
          <w:rFonts w:cs="Times New Roman"/>
        </w:rPr>
        <w:t>对15251组统一候选权重进行多目标约束检验，结果显示，在学业稳定、平衡和全面发展三类研究情景下</w:t>
      </w:r>
      <w:r>
        <w:rPr>
          <w:rFonts w:cs="Times New Roman"/>
          <w:b/>
          <w:bCs/>
        </w:rPr>
        <w:t>均不存在共同可行解</w:t>
      </w:r>
      <w:r>
        <w:rPr>
          <w:rFonts w:cs="Times New Roman"/>
        </w:rPr>
        <w:t>，且单独放宽最低补偿留存约束仍不能消除冲突。</w:t>
      </w:r>
      <w:r>
        <w:rPr>
          <w:rFonts w:cs="Times New Roman"/>
          <w:b/>
          <w:bCs/>
        </w:rPr>
        <w:t>允许学院非智育总权重进行有限差异化后</w:t>
      </w:r>
      <w:r>
        <w:rPr>
          <w:rFonts w:cs="Times New Roman"/>
        </w:rPr>
        <w:t>，学业稳定情景</w:t>
      </w:r>
      <w:r>
        <w:rPr>
          <w:rFonts w:cs="Times New Roman"/>
          <w:b/>
          <w:bCs/>
        </w:rPr>
        <w:t>可恢复共同可行方案</w:t>
      </w:r>
      <w:r>
        <w:rPr>
          <w:rFonts w:cs="Times New Roman"/>
        </w:rPr>
        <w:t>，最小离散差异化半径为</w:t>
      </w:r>
      <w:r>
        <w:rPr>
          <w:rFonts w:cs="Times New Roman"/>
          <w:b/>
          <w:bCs/>
        </w:rPr>
        <w:t>0.009</w:t>
      </w:r>
      <w:r>
        <w:rPr>
          <w:rFonts w:cs="Times New Roman"/>
        </w:rPr>
        <w:t>，共同中心为</w:t>
      </w:r>
      <w:r>
        <w:rPr>
          <w:rFonts w:cs="Times New Roman"/>
          <w:b/>
          <w:bCs/>
        </w:rPr>
        <w:t>0.227</w:t>
      </w:r>
      <w:r>
        <w:rPr>
          <w:rFonts w:cs="Times New Roman"/>
        </w:rPr>
        <w:t>。</w:t>
      </w:r>
      <w:r>
        <w:rPr>
          <w:rFonts w:hint="eastAsia" w:cs="Times New Roman"/>
          <w:lang w:val="en-US" w:eastAsia="zh-CN"/>
        </w:rPr>
        <w:t>本文又</w:t>
      </w:r>
      <w:r>
        <w:rPr>
          <w:rFonts w:cs="Times New Roman"/>
        </w:rPr>
        <w:t>对69个线性与非线性候选方案进行</w:t>
      </w:r>
      <w:r>
        <w:rPr>
          <w:rFonts w:cs="Times New Roman"/>
          <w:b/>
          <w:bCs/>
        </w:rPr>
        <w:t>Pareto</w:t>
      </w:r>
      <w:r>
        <w:rPr>
          <w:rFonts w:cs="Times New Roman"/>
        </w:rPr>
        <w:t>比较发现，8个非线性方案能够严格支配减少2.5个百分点的线性基准，但没有方案严格支配减少5个百分点的线性基准。</w:t>
      </w:r>
    </w:p>
    <w:p w14:paraId="29E05971">
      <w:pPr>
        <w:spacing w:after="60" w:line="288" w:lineRule="auto"/>
      </w:pPr>
      <w:r>
        <w:rPr>
          <w:rFonts w:cs="Times New Roman"/>
        </w:rPr>
        <w:t>最后，</w:t>
      </w:r>
      <w:r>
        <w:rPr>
          <w:rFonts w:hint="eastAsia" w:cs="Times New Roman"/>
          <w:lang w:val="en-US" w:eastAsia="zh-CN"/>
        </w:rPr>
        <w:t>本文</w:t>
      </w:r>
      <w:r>
        <w:rPr>
          <w:rFonts w:cs="Times New Roman"/>
        </w:rPr>
        <w:t>通过并列规则、舍入、样本删除及参数扰动进行鲁棒性检验，主要结论保持稳定。研究表明，北方民族大学综合素质评价权重优化的关键并非单纯调整某一分项比例，而是在学业排序稳定、非智育补偿功能、学院差异与制度复杂度之间寻求合理平衡。</w:t>
      </w:r>
    </w:p>
    <w:p w14:paraId="1ED40F35">
      <w:pPr>
        <w:spacing w:after="60" w:line="288" w:lineRule="auto"/>
        <w:ind w:firstLine="0"/>
      </w:pPr>
      <w:r>
        <w:rPr>
          <w:rFonts w:cs="Times New Roman"/>
          <w:b/>
        </w:rPr>
        <w:t>关键词： 北方民族大学；综合素质评价；权重优化；排序逆转；共同可行域；Pareto分析</w:t>
      </w:r>
    </w:p>
    <w:p w14:paraId="48581ED9">
      <w:r>
        <w:br w:type="page"/>
      </w:r>
    </w:p>
    <w:p w14:paraId="77A44651">
      <w:pPr>
        <w:jc w:val="center"/>
      </w:pPr>
      <w:r>
        <w:rPr>
          <w:rFonts w:eastAsia="黑体" w:cs="Times New Roman"/>
          <w:b/>
          <w:sz w:val="32"/>
        </w:rPr>
        <w:t>目录</w:t>
      </w:r>
    </w:p>
    <w:p w14:paraId="624E19A3">
      <w:pPr>
        <w:pStyle w:val="26"/>
        <w:tabs>
          <w:tab w:val="right" w:leader="dot" w:pos="8948"/>
        </w:tabs>
        <w:rPr>
          <w:rFonts w:hint="eastAsia" w:asciiTheme="minorHAnsi" w:hAnsiTheme="minorHAnsi" w:eastAsiaTheme="minorEastAsia"/>
          <w:kern w:val="2"/>
          <w:sz w:val="22"/>
          <w:szCs w:val="24"/>
          <w:lang w:eastAsia="zh-CN"/>
          <w14:ligatures w14:val="standardContextual"/>
        </w:rPr>
      </w:pPr>
      <w:r>
        <w:rPr>
          <w:rFonts w:cs="Times New Roman"/>
          <w:sz w:val="21"/>
        </w:rPr>
        <w:fldChar w:fldCharType="begin"/>
      </w:r>
      <w:r>
        <w:rPr>
          <w:rFonts w:cs="Times New Roman"/>
          <w:sz w:val="21"/>
        </w:rPr>
        <w:instrText xml:space="preserve">TOC \o "1-3" \h \z \u</w:instrText>
      </w:r>
      <w:r>
        <w:rPr>
          <w:rFonts w:cs="Times New Roman"/>
          <w:sz w:val="21"/>
        </w:rPr>
        <w:fldChar w:fldCharType="separate"/>
      </w:r>
      <w:r>
        <w:fldChar w:fldCharType="begin"/>
      </w:r>
      <w:r>
        <w:instrText xml:space="preserve"> HYPERLINK \l "_Toc240540882" </w:instrText>
      </w:r>
      <w:r>
        <w:fldChar w:fldCharType="separate"/>
      </w:r>
      <w:r>
        <w:rPr>
          <w:rStyle w:val="137"/>
          <w:rFonts w:eastAsia="黑体" w:cs="Times New Roman"/>
        </w:rPr>
        <w:t>1 引言</w:t>
      </w:r>
      <w:r>
        <w:rPr>
          <w:rFonts w:hint="eastAsia"/>
        </w:rPr>
        <w:tab/>
      </w:r>
      <w:r>
        <w:rPr>
          <w:rFonts w:hint="eastAsia"/>
        </w:rPr>
        <w:fldChar w:fldCharType="begin"/>
      </w:r>
      <w:r>
        <w:rPr>
          <w:rFonts w:hint="eastAsia"/>
        </w:rPr>
        <w:instrText xml:space="preserve"> </w:instrText>
      </w:r>
      <w:r>
        <w:instrText xml:space="preserve">PAGEREF _Toc240540882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93A714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"_Toc240540883" </w:instrText>
      </w:r>
      <w:r>
        <w:fldChar w:fldCharType="separate"/>
      </w:r>
      <w:r>
        <w:rPr>
          <w:rStyle w:val="137"/>
          <w:rFonts w:eastAsia="黑体" w:cs="Times New Roman"/>
        </w:rPr>
        <w:t>1.1 研究背景</w:t>
      </w:r>
      <w:r>
        <w:rPr>
          <w:rFonts w:hint="eastAsia"/>
        </w:rPr>
        <w:tab/>
      </w:r>
      <w:r>
        <w:rPr>
          <w:rFonts w:hint="eastAsia"/>
        </w:rPr>
        <w:fldChar w:fldCharType="begin"/>
      </w:r>
      <w:r>
        <w:rPr>
          <w:rFonts w:hint="eastAsia"/>
        </w:rPr>
        <w:instrText xml:space="preserve"> </w:instrText>
      </w:r>
      <w:r>
        <w:instrText xml:space="preserve">PAGEREF _Toc240540883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0217D22A">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"_Toc240540884" </w:instrText>
      </w:r>
      <w:r>
        <w:fldChar w:fldCharType="separate"/>
      </w:r>
      <w:r>
        <w:rPr>
          <w:rStyle w:val="137"/>
          <w:rFonts w:eastAsia="黑体" w:cs="Times New Roman"/>
        </w:rPr>
        <w:t>1.2 问题提出</w:t>
      </w:r>
      <w:r>
        <w:rPr>
          <w:rFonts w:hint="eastAsia"/>
        </w:rPr>
        <w:tab/>
      </w:r>
      <w:r>
        <w:rPr>
          <w:rFonts w:hint="eastAsia"/>
        </w:rPr>
        <w:fldChar w:fldCharType="begin"/>
      </w:r>
      <w:r>
        <w:rPr>
          <w:rFonts w:hint="eastAsia"/>
        </w:rPr>
        <w:instrText xml:space="preserve"> </w:instrText>
      </w:r>
      <w:r>
        <w:instrText xml:space="preserve">PAGEREF _Toc240540884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6E638E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"_Toc240540885" </w:instrText>
      </w:r>
      <w:r>
        <w:fldChar w:fldCharType="separate"/>
      </w:r>
      <w:r>
        <w:rPr>
          <w:rStyle w:val="137"/>
          <w:rFonts w:eastAsia="黑体" w:cs="Times New Roman"/>
        </w:rPr>
        <w:t>1.3 研究目标与研究问题</w:t>
      </w:r>
      <w:r>
        <w:rPr>
          <w:rFonts w:hint="eastAsia"/>
        </w:rPr>
        <w:tab/>
      </w:r>
      <w:r>
        <w:rPr>
          <w:rFonts w:hint="eastAsia"/>
        </w:rPr>
        <w:fldChar w:fldCharType="begin"/>
      </w:r>
      <w:r>
        <w:rPr>
          <w:rFonts w:hint="eastAsia"/>
        </w:rPr>
        <w:instrText xml:space="preserve"> </w:instrText>
      </w:r>
      <w:r>
        <w:instrText xml:space="preserve">PAGEREF _Toc240540885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922A143">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"_Toc240540886" </w:instrText>
      </w:r>
      <w:r>
        <w:fldChar w:fldCharType="separate"/>
      </w:r>
      <w:r>
        <w:rPr>
          <w:rStyle w:val="137"/>
          <w:rFonts w:eastAsia="黑体" w:cs="Times New Roman"/>
        </w:rPr>
        <w:t>1.4 研究思路与技术路线</w:t>
      </w:r>
      <w:r>
        <w:rPr>
          <w:rFonts w:hint="eastAsia"/>
        </w:rPr>
        <w:tab/>
      </w:r>
      <w:r>
        <w:rPr>
          <w:rFonts w:hint="eastAsia"/>
        </w:rPr>
        <w:fldChar w:fldCharType="begin"/>
      </w:r>
      <w:r>
        <w:rPr>
          <w:rFonts w:hint="eastAsia"/>
        </w:rPr>
        <w:instrText xml:space="preserve"> </w:instrText>
      </w:r>
      <w:r>
        <w:instrText xml:space="preserve">PAGEREF _Toc240540886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091448F">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"_Toc240540887" </w:instrText>
      </w:r>
      <w:r>
        <w:fldChar w:fldCharType="separate"/>
      </w:r>
      <w:r>
        <w:rPr>
          <w:rStyle w:val="137"/>
          <w:rFonts w:eastAsia="黑体" w:cs="Times New Roman"/>
        </w:rPr>
        <w:t>1.5 研究贡献</w:t>
      </w:r>
      <w:r>
        <w:rPr>
          <w:rFonts w:hint="eastAsia"/>
        </w:rPr>
        <w:tab/>
      </w:r>
      <w:r>
        <w:rPr>
          <w:rFonts w:hint="eastAsia"/>
        </w:rPr>
        <w:fldChar w:fldCharType="begin"/>
      </w:r>
      <w:r>
        <w:rPr>
          <w:rFonts w:hint="eastAsia"/>
        </w:rPr>
        <w:instrText xml:space="preserve"> </w:instrText>
      </w:r>
      <w:r>
        <w:instrText xml:space="preserve">PAGEREF _Toc240540887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FFFE4C9">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"_Toc240540888" </w:instrText>
      </w:r>
      <w:r>
        <w:fldChar w:fldCharType="separate"/>
      </w:r>
      <w:r>
        <w:rPr>
          <w:rStyle w:val="137"/>
          <w:rFonts w:eastAsia="黑体" w:cs="Times New Roman"/>
        </w:rPr>
        <w:t>2 制度背景、数据与评价结构</w:t>
      </w:r>
      <w:r>
        <w:rPr>
          <w:rFonts w:hint="eastAsia"/>
        </w:rPr>
        <w:tab/>
      </w:r>
      <w:r>
        <w:rPr>
          <w:rFonts w:hint="eastAsia"/>
        </w:rPr>
        <w:fldChar w:fldCharType="begin"/>
      </w:r>
      <w:r>
        <w:rPr>
          <w:rFonts w:hint="eastAsia"/>
        </w:rPr>
        <w:instrText xml:space="preserve"> </w:instrText>
      </w:r>
      <w:r>
        <w:instrText xml:space="preserve">PAGEREF _Toc240540888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26F8CDC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"_Toc240540889" </w:instrText>
      </w:r>
      <w:r>
        <w:fldChar w:fldCharType="separate"/>
      </w:r>
      <w:r>
        <w:rPr>
          <w:rStyle w:val="137"/>
          <w:rFonts w:eastAsia="黑体" w:cs="Times New Roman"/>
        </w:rPr>
        <w:t>2.1 综合素质评价制度背景</w:t>
      </w:r>
      <w:r>
        <w:rPr>
          <w:rFonts w:hint="eastAsia"/>
        </w:rPr>
        <w:tab/>
      </w:r>
      <w:r>
        <w:rPr>
          <w:rFonts w:hint="eastAsia"/>
        </w:rPr>
        <w:fldChar w:fldCharType="begin"/>
      </w:r>
      <w:r>
        <w:rPr>
          <w:rFonts w:hint="eastAsia"/>
        </w:rPr>
        <w:instrText xml:space="preserve"> </w:instrText>
      </w:r>
      <w:r>
        <w:instrText xml:space="preserve">PAGEREF _Toc240540889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1FA640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"_Toc240540890" </w:instrText>
      </w:r>
      <w:r>
        <w:fldChar w:fldCharType="separate"/>
      </w:r>
      <w:r>
        <w:rPr>
          <w:rStyle w:val="137"/>
          <w:rFonts w:eastAsia="黑体" w:cs="Times New Roman"/>
        </w:rPr>
        <w:t>2.2 数据来源与研究样本</w:t>
      </w:r>
      <w:r>
        <w:rPr>
          <w:rFonts w:hint="eastAsia"/>
        </w:rPr>
        <w:tab/>
      </w:r>
      <w:r>
        <w:rPr>
          <w:rFonts w:hint="eastAsia"/>
        </w:rPr>
        <w:fldChar w:fldCharType="begin"/>
      </w:r>
      <w:r>
        <w:rPr>
          <w:rFonts w:hint="eastAsia"/>
        </w:rPr>
        <w:instrText xml:space="preserve"> </w:instrText>
      </w:r>
      <w:r>
        <w:instrText xml:space="preserve">PAGEREF _Toc240540890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6DDCC84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"_Toc240540891" </w:instrText>
      </w:r>
      <w:r>
        <w:fldChar w:fldCharType="separate"/>
      </w:r>
      <w:r>
        <w:rPr>
          <w:rStyle w:val="137"/>
          <w:rFonts w:eastAsia="黑体" w:cs="Times New Roman"/>
        </w:rPr>
        <w:t>2.3 智育、德育与发展素质指标</w:t>
      </w:r>
      <w:r>
        <w:rPr>
          <w:rFonts w:hint="eastAsia"/>
        </w:rPr>
        <w:tab/>
      </w:r>
      <w:r>
        <w:rPr>
          <w:rFonts w:hint="eastAsia"/>
        </w:rPr>
        <w:fldChar w:fldCharType="begin"/>
      </w:r>
      <w:r>
        <w:rPr>
          <w:rFonts w:hint="eastAsia"/>
        </w:rPr>
        <w:instrText xml:space="preserve"> </w:instrText>
      </w:r>
      <w:r>
        <w:instrText xml:space="preserve">PAGEREF _Toc240540891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49FCDE54">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"_Toc240540892" </w:instrText>
      </w:r>
      <w:r>
        <w:fldChar w:fldCharType="separate"/>
      </w:r>
      <w:r>
        <w:rPr>
          <w:rStyle w:val="137"/>
          <w:rFonts w:eastAsia="黑体" w:cs="Times New Roman"/>
        </w:rPr>
        <w:t>2.4 现行权重结构</w:t>
      </w:r>
      <w:r>
        <w:rPr>
          <w:rFonts w:hint="eastAsia"/>
        </w:rPr>
        <w:tab/>
      </w:r>
      <w:r>
        <w:rPr>
          <w:rFonts w:hint="eastAsia"/>
        </w:rPr>
        <w:fldChar w:fldCharType="begin"/>
      </w:r>
      <w:r>
        <w:rPr>
          <w:rFonts w:hint="eastAsia"/>
        </w:rPr>
        <w:instrText xml:space="preserve"> </w:instrText>
      </w:r>
      <w:r>
        <w:instrText xml:space="preserve">PAGEREF _Toc240540892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04EA2ABD">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"_Toc240540893" </w:instrText>
      </w:r>
      <w:r>
        <w:fldChar w:fldCharType="separate"/>
      </w:r>
      <w:r>
        <w:rPr>
          <w:rStyle w:val="137"/>
          <w:rFonts w:eastAsia="黑体" w:cs="Times New Roman"/>
        </w:rPr>
        <w:t>2.5 数据清洗与质量控制</w:t>
      </w:r>
      <w:r>
        <w:rPr>
          <w:rFonts w:hint="eastAsia"/>
        </w:rPr>
        <w:tab/>
      </w:r>
      <w:r>
        <w:rPr>
          <w:rFonts w:hint="eastAsia"/>
        </w:rPr>
        <w:fldChar w:fldCharType="begin"/>
      </w:r>
      <w:r>
        <w:rPr>
          <w:rFonts w:hint="eastAsia"/>
        </w:rPr>
        <w:instrText xml:space="preserve"> </w:instrText>
      </w:r>
      <w:r>
        <w:instrText xml:space="preserve">PAGEREF _Toc240540893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26764F8E">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"_Toc240540894" </w:instrText>
      </w:r>
      <w:r>
        <w:fldChar w:fldCharType="separate"/>
      </w:r>
      <w:r>
        <w:rPr>
          <w:rStyle w:val="137"/>
          <w:rFonts w:eastAsia="黑体" w:cs="Times New Roman"/>
        </w:rPr>
        <w:t>3 数学建模框架与评价指标</w:t>
      </w:r>
      <w:r>
        <w:rPr>
          <w:rFonts w:hint="eastAsia"/>
        </w:rPr>
        <w:tab/>
      </w:r>
      <w:r>
        <w:rPr>
          <w:rFonts w:hint="eastAsia"/>
        </w:rPr>
        <w:fldChar w:fldCharType="begin"/>
      </w:r>
      <w:r>
        <w:rPr>
          <w:rFonts w:hint="eastAsia"/>
        </w:rPr>
        <w:instrText xml:space="preserve"> </w:instrText>
      </w:r>
      <w:r>
        <w:instrText xml:space="preserve">PAGEREF _Toc240540894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23D6CB96">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"_Toc240540895" </w:instrText>
      </w:r>
      <w:r>
        <w:fldChar w:fldCharType="separate"/>
      </w:r>
      <w:r>
        <w:rPr>
          <w:rStyle w:val="137"/>
          <w:rFonts w:eastAsia="黑体" w:cs="Times New Roman"/>
        </w:rPr>
        <w:t>3.1 综合评价得分函数与权重参数化</w:t>
      </w:r>
      <w:r>
        <w:rPr>
          <w:rFonts w:hint="eastAsia"/>
        </w:rPr>
        <w:tab/>
      </w:r>
      <w:r>
        <w:rPr>
          <w:rFonts w:hint="eastAsia"/>
        </w:rPr>
        <w:fldChar w:fldCharType="begin"/>
      </w:r>
      <w:r>
        <w:rPr>
          <w:rFonts w:hint="eastAsia"/>
        </w:rPr>
        <w:instrText xml:space="preserve"> </w:instrText>
      </w:r>
      <w:r>
        <w:instrText xml:space="preserve">PAGEREF _Toc240540895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024CFA89">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"_Toc240540896" </w:instrText>
      </w:r>
      <w:r>
        <w:fldChar w:fldCharType="separate"/>
      </w:r>
      <w:r>
        <w:rPr>
          <w:rStyle w:val="137"/>
          <w:rFonts w:eastAsia="黑体" w:cs="Times New Roman"/>
        </w:rPr>
        <w:t>3.2 排名位移与排序一致性</w:t>
      </w:r>
      <w:r>
        <w:rPr>
          <w:rFonts w:hint="eastAsia"/>
        </w:rPr>
        <w:tab/>
      </w:r>
      <w:r>
        <w:rPr>
          <w:rFonts w:hint="eastAsia"/>
        </w:rPr>
        <w:fldChar w:fldCharType="begin"/>
      </w:r>
      <w:r>
        <w:rPr>
          <w:rFonts w:hint="eastAsia"/>
        </w:rPr>
        <w:instrText xml:space="preserve"> </w:instrText>
      </w:r>
      <w:r>
        <w:instrText xml:space="preserve">PAGEREF _Toc240540896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5E34005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"_Toc240540897" </w:instrText>
      </w:r>
      <w:r>
        <w:fldChar w:fldCharType="separate"/>
      </w:r>
      <w:r>
        <w:rPr>
          <w:rStyle w:val="137"/>
          <w:rFonts w:eastAsia="黑体" w:cs="Times New Roman"/>
        </w:rPr>
        <w:t>3.3 学业次序逆转模型</w:t>
      </w:r>
      <w:r>
        <w:rPr>
          <w:rFonts w:hint="eastAsia"/>
        </w:rPr>
        <w:tab/>
      </w:r>
      <w:r>
        <w:rPr>
          <w:rFonts w:hint="eastAsia"/>
        </w:rPr>
        <w:fldChar w:fldCharType="begin"/>
      </w:r>
      <w:r>
        <w:rPr>
          <w:rFonts w:hint="eastAsia"/>
        </w:rPr>
        <w:instrText xml:space="preserve"> </w:instrText>
      </w:r>
      <w:r>
        <w:instrText xml:space="preserve">PAGEREF _Toc240540897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0BFE91CF">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"_Toc240540898" </w:instrText>
      </w:r>
      <w:r>
        <w:fldChar w:fldCharType="separate"/>
      </w:r>
      <w:r>
        <w:rPr>
          <w:rStyle w:val="137"/>
          <w:rFonts w:eastAsia="黑体" w:cs="Times New Roman"/>
        </w:rPr>
        <w:t>3.4 头部集合稳定性模型</w:t>
      </w:r>
      <w:r>
        <w:rPr>
          <w:rFonts w:hint="eastAsia"/>
        </w:rPr>
        <w:tab/>
      </w:r>
      <w:r>
        <w:rPr>
          <w:rFonts w:hint="eastAsia"/>
        </w:rPr>
        <w:fldChar w:fldCharType="begin"/>
      </w:r>
      <w:r>
        <w:rPr>
          <w:rFonts w:hint="eastAsia"/>
        </w:rPr>
        <w:instrText xml:space="preserve"> </w:instrText>
      </w:r>
      <w:r>
        <w:instrText xml:space="preserve">PAGEREF _Toc240540898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402C6826">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"_Toc240540899" </w:instrText>
      </w:r>
      <w:r>
        <w:fldChar w:fldCharType="separate"/>
      </w:r>
      <w:r>
        <w:rPr>
          <w:rStyle w:val="137"/>
          <w:rFonts w:eastAsia="黑体" w:cs="Times New Roman"/>
        </w:rPr>
        <w:t>3.5 非智育补偿与留存指标</w:t>
      </w:r>
      <w:r>
        <w:rPr>
          <w:rFonts w:hint="eastAsia"/>
        </w:rPr>
        <w:tab/>
      </w:r>
      <w:r>
        <w:rPr>
          <w:rFonts w:hint="eastAsia"/>
        </w:rPr>
        <w:fldChar w:fldCharType="begin"/>
      </w:r>
      <w:r>
        <w:rPr>
          <w:rFonts w:hint="eastAsia"/>
        </w:rPr>
        <w:instrText xml:space="preserve"> </w:instrText>
      </w:r>
      <w:r>
        <w:instrText xml:space="preserve">PAGEREF _Toc240540899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02A44B41">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"_Toc240540900" </w:instrText>
      </w:r>
      <w:r>
        <w:fldChar w:fldCharType="separate"/>
      </w:r>
      <w:r>
        <w:rPr>
          <w:rStyle w:val="137"/>
          <w:rFonts w:eastAsia="黑体" w:cs="Times New Roman"/>
        </w:rPr>
        <w:t>3.6 学院最低补偿留存</w:t>
      </w:r>
      <w:r>
        <w:rPr>
          <w:rFonts w:hint="eastAsia"/>
        </w:rPr>
        <w:tab/>
      </w:r>
      <w:r>
        <w:rPr>
          <w:rFonts w:hint="eastAsia"/>
        </w:rPr>
        <w:fldChar w:fldCharType="begin"/>
      </w:r>
      <w:r>
        <w:rPr>
          <w:rFonts w:hint="eastAsia"/>
        </w:rPr>
        <w:instrText xml:space="preserve"> </w:instrText>
      </w:r>
      <w:r>
        <w:instrText xml:space="preserve">PAGEREF _Toc240540900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73E7C118">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"_Toc240540901" </w:instrText>
      </w:r>
      <w:r>
        <w:fldChar w:fldCharType="separate"/>
      </w:r>
      <w:r>
        <w:rPr>
          <w:rStyle w:val="137"/>
          <w:rFonts w:eastAsia="黑体" w:cs="Times New Roman"/>
        </w:rPr>
        <w:t>3.7 多学院共同可行域</w:t>
      </w:r>
      <w:r>
        <w:rPr>
          <w:rFonts w:hint="eastAsia"/>
        </w:rPr>
        <w:tab/>
      </w:r>
      <w:r>
        <w:rPr>
          <w:rFonts w:hint="eastAsia"/>
        </w:rPr>
        <w:fldChar w:fldCharType="begin"/>
      </w:r>
      <w:r>
        <w:rPr>
          <w:rFonts w:hint="eastAsia"/>
        </w:rPr>
        <w:instrText xml:space="preserve"> </w:instrText>
      </w:r>
      <w:r>
        <w:instrText xml:space="preserve">PAGEREF _Toc240540901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1CE7B6AD">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"_Toc240540902" </w:instrText>
      </w:r>
      <w:r>
        <w:fldChar w:fldCharType="separate"/>
      </w:r>
      <w:r>
        <w:rPr>
          <w:rStyle w:val="137"/>
          <w:rFonts w:eastAsia="黑体" w:cs="Times New Roman"/>
        </w:rPr>
        <w:t>3.8 多目标优化与Pareto判定</w:t>
      </w:r>
      <w:r>
        <w:rPr>
          <w:rFonts w:hint="eastAsia"/>
        </w:rPr>
        <w:tab/>
      </w:r>
      <w:r>
        <w:rPr>
          <w:rFonts w:hint="eastAsia"/>
        </w:rPr>
        <w:fldChar w:fldCharType="begin"/>
      </w:r>
      <w:r>
        <w:rPr>
          <w:rFonts w:hint="eastAsia"/>
        </w:rPr>
        <w:instrText xml:space="preserve"> </w:instrText>
      </w:r>
      <w:r>
        <w:instrText xml:space="preserve">PAGEREF _Toc240540902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0057C61F">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"_Toc240540903" </w:instrText>
      </w:r>
      <w:r>
        <w:fldChar w:fldCharType="separate"/>
      </w:r>
      <w:r>
        <w:rPr>
          <w:rStyle w:val="137"/>
          <w:rFonts w:eastAsia="黑体" w:cs="Times New Roman"/>
        </w:rPr>
        <w:t>4 现行综合评价制度的排序效应</w:t>
      </w:r>
      <w:r>
        <w:rPr>
          <w:rFonts w:hint="eastAsia"/>
        </w:rPr>
        <w:tab/>
      </w:r>
      <w:r>
        <w:rPr>
          <w:rFonts w:hint="eastAsia"/>
        </w:rPr>
        <w:fldChar w:fldCharType="begin"/>
      </w:r>
      <w:r>
        <w:rPr>
          <w:rFonts w:hint="eastAsia"/>
        </w:rPr>
        <w:instrText xml:space="preserve"> </w:instrText>
      </w:r>
      <w:r>
        <w:instrText xml:space="preserve">PAGEREF _Toc240540903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42583A60">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"_Toc240540904" </w:instrText>
      </w:r>
      <w:r>
        <w:fldChar w:fldCharType="separate"/>
      </w:r>
      <w:r>
        <w:rPr>
          <w:rStyle w:val="137"/>
          <w:rFonts w:eastAsia="黑体" w:cs="Times New Roman"/>
        </w:rPr>
        <w:t>4.1 指标分布与有效影响</w:t>
      </w:r>
      <w:r>
        <w:rPr>
          <w:rFonts w:hint="eastAsia"/>
        </w:rPr>
        <w:tab/>
      </w:r>
      <w:r>
        <w:rPr>
          <w:rFonts w:hint="eastAsia"/>
        </w:rPr>
        <w:fldChar w:fldCharType="begin"/>
      </w:r>
      <w:r>
        <w:rPr>
          <w:rFonts w:hint="eastAsia"/>
        </w:rPr>
        <w:instrText xml:space="preserve"> </w:instrText>
      </w:r>
      <w:r>
        <w:instrText xml:space="preserve">PAGEREF _Toc240540904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4DC447A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"_Toc240540905" </w:instrText>
      </w:r>
      <w:r>
        <w:fldChar w:fldCharType="separate"/>
      </w:r>
      <w:r>
        <w:rPr>
          <w:rStyle w:val="137"/>
          <w:rFonts w:eastAsia="黑体" w:cs="Times New Roman"/>
        </w:rPr>
        <w:t>4.2 排名位移与排序一致性</w:t>
      </w:r>
      <w:r>
        <w:rPr>
          <w:rFonts w:hint="eastAsia"/>
        </w:rPr>
        <w:tab/>
      </w:r>
      <w:r>
        <w:rPr>
          <w:rFonts w:hint="eastAsia"/>
        </w:rPr>
        <w:fldChar w:fldCharType="begin"/>
      </w:r>
      <w:r>
        <w:rPr>
          <w:rFonts w:hint="eastAsia"/>
        </w:rPr>
        <w:instrText xml:space="preserve"> </w:instrText>
      </w:r>
      <w:r>
        <w:instrText xml:space="preserve">PAGEREF _Toc240540905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7DFE6EB1">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"_Toc240540906" </w:instrText>
      </w:r>
      <w:r>
        <w:fldChar w:fldCharType="separate"/>
      </w:r>
      <w:r>
        <w:rPr>
          <w:rStyle w:val="137"/>
          <w:rFonts w:eastAsia="黑体" w:cs="Times New Roman"/>
        </w:rPr>
        <w:t>4.3 学业次序逆转</w:t>
      </w:r>
      <w:r>
        <w:rPr>
          <w:rFonts w:hint="eastAsia"/>
        </w:rPr>
        <w:tab/>
      </w:r>
      <w:r>
        <w:rPr>
          <w:rFonts w:hint="eastAsia"/>
        </w:rPr>
        <w:fldChar w:fldCharType="begin"/>
      </w:r>
      <w:r>
        <w:rPr>
          <w:rFonts w:hint="eastAsia"/>
        </w:rPr>
        <w:instrText xml:space="preserve"> </w:instrText>
      </w:r>
      <w:r>
        <w:instrText xml:space="preserve">PAGEREF _Toc240540906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24E97B0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"_Toc240540907" </w:instrText>
      </w:r>
      <w:r>
        <w:fldChar w:fldCharType="separate"/>
      </w:r>
      <w:r>
        <w:rPr>
          <w:rStyle w:val="137"/>
          <w:rFonts w:eastAsia="黑体" w:cs="Times New Roman"/>
        </w:rPr>
        <w:t>4.4 头部学生集合变化</w:t>
      </w:r>
      <w:r>
        <w:rPr>
          <w:rFonts w:hint="eastAsia"/>
        </w:rPr>
        <w:tab/>
      </w:r>
      <w:r>
        <w:rPr>
          <w:rFonts w:hint="eastAsia"/>
        </w:rPr>
        <w:fldChar w:fldCharType="begin"/>
      </w:r>
      <w:r>
        <w:rPr>
          <w:rFonts w:hint="eastAsia"/>
        </w:rPr>
        <w:instrText xml:space="preserve"> </w:instrText>
      </w:r>
      <w:r>
        <w:instrText xml:space="preserve">PAGEREF _Toc240540907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2C20B533">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"_Toc240540908" </w:instrText>
      </w:r>
      <w:r>
        <w:fldChar w:fldCharType="separate"/>
      </w:r>
      <w:r>
        <w:rPr>
          <w:rStyle w:val="137"/>
          <w:rFonts w:eastAsia="黑体" w:cs="Times New Roman"/>
        </w:rPr>
        <w:t>4.5 非智育补偿机制</w:t>
      </w:r>
      <w:r>
        <w:rPr>
          <w:rFonts w:hint="eastAsia"/>
        </w:rPr>
        <w:tab/>
      </w:r>
      <w:r>
        <w:rPr>
          <w:rFonts w:hint="eastAsia"/>
        </w:rPr>
        <w:fldChar w:fldCharType="begin"/>
      </w:r>
      <w:r>
        <w:rPr>
          <w:rFonts w:hint="eastAsia"/>
        </w:rPr>
        <w:instrText xml:space="preserve"> </w:instrText>
      </w:r>
      <w:r>
        <w:instrText xml:space="preserve">PAGEREF _Toc240540908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7DD42537">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"_Toc240540909" </w:instrText>
      </w:r>
      <w:r>
        <w:fldChar w:fldCharType="separate"/>
      </w:r>
      <w:r>
        <w:rPr>
          <w:rStyle w:val="137"/>
          <w:rFonts w:eastAsia="黑体" w:cs="Times New Roman"/>
        </w:rPr>
        <w:t>4.6 跨组异质性</w:t>
      </w:r>
      <w:r>
        <w:rPr>
          <w:rFonts w:hint="eastAsia"/>
        </w:rPr>
        <w:tab/>
      </w:r>
      <w:r>
        <w:rPr>
          <w:rFonts w:hint="eastAsia"/>
        </w:rPr>
        <w:fldChar w:fldCharType="begin"/>
      </w:r>
      <w:r>
        <w:rPr>
          <w:rFonts w:hint="eastAsia"/>
        </w:rPr>
        <w:instrText xml:space="preserve"> </w:instrText>
      </w:r>
      <w:r>
        <w:instrText xml:space="preserve">PAGEREF _Toc240540909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4EA497F4">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"_Toc240540910" </w:instrText>
      </w:r>
      <w:r>
        <w:fldChar w:fldCharType="separate"/>
      </w:r>
      <w:r>
        <w:rPr>
          <w:rStyle w:val="137"/>
          <w:rFonts w:eastAsia="黑体" w:cs="Times New Roman"/>
        </w:rPr>
        <w:t>4.7 本章小结</w:t>
      </w:r>
      <w:r>
        <w:rPr>
          <w:rFonts w:hint="eastAsia"/>
        </w:rPr>
        <w:tab/>
      </w:r>
      <w:r>
        <w:rPr>
          <w:rFonts w:hint="eastAsia"/>
        </w:rPr>
        <w:fldChar w:fldCharType="begin"/>
      </w:r>
      <w:r>
        <w:rPr>
          <w:rFonts w:hint="eastAsia"/>
        </w:rPr>
        <w:instrText xml:space="preserve"> </w:instrText>
      </w:r>
      <w:r>
        <w:instrText xml:space="preserve">PAGEREF _Toc240540910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1B6657EA">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"_Toc240540911" </w:instrText>
      </w:r>
      <w:r>
        <w:fldChar w:fldCharType="separate"/>
      </w:r>
      <w:r>
        <w:rPr>
          <w:rStyle w:val="137"/>
          <w:rFonts w:eastAsia="黑体" w:cs="Times New Roman"/>
        </w:rPr>
        <w:t>5 权重调整的反事实响应</w:t>
      </w:r>
      <w:r>
        <w:rPr>
          <w:rFonts w:hint="eastAsia"/>
        </w:rPr>
        <w:tab/>
      </w:r>
      <w:r>
        <w:rPr>
          <w:rFonts w:hint="eastAsia"/>
        </w:rPr>
        <w:fldChar w:fldCharType="begin"/>
      </w:r>
      <w:r>
        <w:rPr>
          <w:rFonts w:hint="eastAsia"/>
        </w:rPr>
        <w:instrText xml:space="preserve"> </w:instrText>
      </w:r>
      <w:r>
        <w:instrText xml:space="preserve">PAGEREF _Toc240540911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4047718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"_Toc240540912" </w:instrText>
      </w:r>
      <w:r>
        <w:fldChar w:fldCharType="separate"/>
      </w:r>
      <w:r>
        <w:rPr>
          <w:rStyle w:val="137"/>
          <w:rFonts w:eastAsia="黑体" w:cs="Times New Roman"/>
        </w:rPr>
        <w:t>5.1 固定成绩what-if框架</w:t>
      </w:r>
      <w:r>
        <w:rPr>
          <w:rFonts w:hint="eastAsia"/>
        </w:rPr>
        <w:tab/>
      </w:r>
      <w:r>
        <w:rPr>
          <w:rFonts w:hint="eastAsia"/>
        </w:rPr>
        <w:fldChar w:fldCharType="begin"/>
      </w:r>
      <w:r>
        <w:rPr>
          <w:rFonts w:hint="eastAsia"/>
        </w:rPr>
        <w:instrText xml:space="preserve"> </w:instrText>
      </w:r>
      <w:r>
        <w:instrText xml:space="preserve">PAGEREF _Toc240540912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0FDBAA8E">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"_Toc240540913" </w:instrText>
      </w:r>
      <w:r>
        <w:fldChar w:fldCharType="separate"/>
      </w:r>
      <w:r>
        <w:rPr>
          <w:rStyle w:val="137"/>
          <w:rFonts w:eastAsia="黑体" w:cs="Times New Roman"/>
        </w:rPr>
        <w:t>5.2 不同降权路径</w:t>
      </w:r>
      <w:r>
        <w:rPr>
          <w:rFonts w:hint="eastAsia"/>
        </w:rPr>
        <w:tab/>
      </w:r>
      <w:r>
        <w:rPr>
          <w:rFonts w:hint="eastAsia"/>
        </w:rPr>
        <w:fldChar w:fldCharType="begin"/>
      </w:r>
      <w:r>
        <w:rPr>
          <w:rFonts w:hint="eastAsia"/>
        </w:rPr>
        <w:instrText xml:space="preserve"> </w:instrText>
      </w:r>
      <w:r>
        <w:instrText xml:space="preserve">PAGEREF _Toc240540913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792AC0E1">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"_Toc240540914" </w:instrText>
      </w:r>
      <w:r>
        <w:fldChar w:fldCharType="separate"/>
      </w:r>
      <w:r>
        <w:rPr>
          <w:rStyle w:val="137"/>
          <w:rFonts w:eastAsia="黑体" w:cs="Times New Roman"/>
        </w:rPr>
        <w:t>5.3 逆转率响应</w:t>
      </w:r>
      <w:r>
        <w:rPr>
          <w:rFonts w:hint="eastAsia"/>
        </w:rPr>
        <w:tab/>
      </w:r>
      <w:r>
        <w:rPr>
          <w:rFonts w:hint="eastAsia"/>
        </w:rPr>
        <w:fldChar w:fldCharType="begin"/>
      </w:r>
      <w:r>
        <w:rPr>
          <w:rFonts w:hint="eastAsia"/>
        </w:rPr>
        <w:instrText xml:space="preserve"> </w:instrText>
      </w:r>
      <w:r>
        <w:instrText xml:space="preserve">PAGEREF _Toc240540914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783679E3">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"_Toc240540915" </w:instrText>
      </w:r>
      <w:r>
        <w:fldChar w:fldCharType="separate"/>
      </w:r>
      <w:r>
        <w:rPr>
          <w:rStyle w:val="137"/>
          <w:rFonts w:eastAsia="黑体" w:cs="Times New Roman"/>
        </w:rPr>
        <w:t>5.4 头部稳定性与补偿留存</w:t>
      </w:r>
      <w:r>
        <w:rPr>
          <w:rFonts w:hint="eastAsia"/>
        </w:rPr>
        <w:tab/>
      </w:r>
      <w:r>
        <w:rPr>
          <w:rFonts w:hint="eastAsia"/>
        </w:rPr>
        <w:fldChar w:fldCharType="begin"/>
      </w:r>
      <w:r>
        <w:rPr>
          <w:rFonts w:hint="eastAsia"/>
        </w:rPr>
        <w:instrText xml:space="preserve"> </w:instrText>
      </w:r>
      <w:r>
        <w:instrText xml:space="preserve">PAGEREF _Toc240540915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5CEEE6EF">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"_Toc240540916" </w:instrText>
      </w:r>
      <w:r>
        <w:fldChar w:fldCharType="separate"/>
      </w:r>
      <w:r>
        <w:rPr>
          <w:rStyle w:val="137"/>
          <w:rFonts w:eastAsia="黑体" w:cs="Times New Roman"/>
        </w:rPr>
        <w:t>5.5 比例降权的数学性质</w:t>
      </w:r>
      <w:r>
        <w:rPr>
          <w:rFonts w:hint="eastAsia"/>
        </w:rPr>
        <w:tab/>
      </w:r>
      <w:r>
        <w:rPr>
          <w:rFonts w:hint="eastAsia"/>
        </w:rPr>
        <w:fldChar w:fldCharType="begin"/>
      </w:r>
      <w:r>
        <w:rPr>
          <w:rFonts w:hint="eastAsia"/>
        </w:rPr>
        <w:instrText xml:space="preserve"> </w:instrText>
      </w:r>
      <w:r>
        <w:instrText xml:space="preserve">PAGEREF _Toc240540916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541E4733">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"_Toc240540917" </w:instrText>
      </w:r>
      <w:r>
        <w:fldChar w:fldCharType="separate"/>
      </w:r>
      <w:r>
        <w:rPr>
          <w:rStyle w:val="137"/>
          <w:rFonts w:eastAsia="黑体" w:cs="Times New Roman"/>
        </w:rPr>
        <w:t>5.6 本章小结</w:t>
      </w:r>
      <w:r>
        <w:rPr>
          <w:rFonts w:hint="eastAsia"/>
        </w:rPr>
        <w:tab/>
      </w:r>
      <w:r>
        <w:rPr>
          <w:rFonts w:hint="eastAsia"/>
        </w:rPr>
        <w:fldChar w:fldCharType="begin"/>
      </w:r>
      <w:r>
        <w:rPr>
          <w:rFonts w:hint="eastAsia"/>
        </w:rPr>
        <w:instrText xml:space="preserve"> </w:instrText>
      </w:r>
      <w:r>
        <w:instrText xml:space="preserve">PAGEREF _Toc240540917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289E4A58">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"_Toc240540918" </w:instrText>
      </w:r>
      <w:r>
        <w:fldChar w:fldCharType="separate"/>
      </w:r>
      <w:r>
        <w:rPr>
          <w:rStyle w:val="137"/>
          <w:rFonts w:eastAsia="黑体" w:cs="Times New Roman"/>
        </w:rPr>
        <w:t>6 统一权重的多目标可行域与约束冲突</w:t>
      </w:r>
      <w:r>
        <w:rPr>
          <w:rFonts w:hint="eastAsia"/>
        </w:rPr>
        <w:tab/>
      </w:r>
      <w:r>
        <w:rPr>
          <w:rFonts w:hint="eastAsia"/>
        </w:rPr>
        <w:fldChar w:fldCharType="begin"/>
      </w:r>
      <w:r>
        <w:rPr>
          <w:rFonts w:hint="eastAsia"/>
        </w:rPr>
        <w:instrText xml:space="preserve"> </w:instrText>
      </w:r>
      <w:r>
        <w:instrText xml:space="preserve">PAGEREF _Toc240540918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5B96CB23">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"_Toc240540919" </w:instrText>
      </w:r>
      <w:r>
        <w:fldChar w:fldCharType="separate"/>
      </w:r>
      <w:r>
        <w:rPr>
          <w:rStyle w:val="137"/>
          <w:rFonts w:eastAsia="黑体" w:cs="Times New Roman"/>
        </w:rPr>
        <w:t>6.1 权重响应数据库</w:t>
      </w:r>
      <w:r>
        <w:rPr>
          <w:rFonts w:hint="eastAsia"/>
        </w:rPr>
        <w:tab/>
      </w:r>
      <w:r>
        <w:rPr>
          <w:rFonts w:hint="eastAsia"/>
        </w:rPr>
        <w:fldChar w:fldCharType="begin"/>
      </w:r>
      <w:r>
        <w:rPr>
          <w:rFonts w:hint="eastAsia"/>
        </w:rPr>
        <w:instrText xml:space="preserve"> </w:instrText>
      </w:r>
      <w:r>
        <w:instrText xml:space="preserve">PAGEREF _Toc240540919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42FBEE4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"_Toc240540920" </w:instrText>
      </w:r>
      <w:r>
        <w:fldChar w:fldCharType="separate"/>
      </w:r>
      <w:r>
        <w:rPr>
          <w:rStyle w:val="137"/>
          <w:rFonts w:eastAsia="黑体" w:cs="Times New Roman"/>
        </w:rPr>
        <w:t>6.2 三类研究情景</w:t>
      </w:r>
      <w:r>
        <w:rPr>
          <w:rFonts w:hint="eastAsia"/>
        </w:rPr>
        <w:tab/>
      </w:r>
      <w:r>
        <w:rPr>
          <w:rFonts w:hint="eastAsia"/>
        </w:rPr>
        <w:fldChar w:fldCharType="begin"/>
      </w:r>
      <w:r>
        <w:rPr>
          <w:rFonts w:hint="eastAsia"/>
        </w:rPr>
        <w:instrText xml:space="preserve"> </w:instrText>
      </w:r>
      <w:r>
        <w:instrText xml:space="preserve">PAGEREF _Toc240540920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55F02D1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"_Toc240540921" </w:instrText>
      </w:r>
      <w:r>
        <w:fldChar w:fldCharType="separate"/>
      </w:r>
      <w:r>
        <w:rPr>
          <w:rStyle w:val="137"/>
          <w:rFonts w:eastAsia="黑体" w:cs="Times New Roman"/>
        </w:rPr>
        <w:t>6.3 统一共同可行域</w:t>
      </w:r>
      <w:r>
        <w:rPr>
          <w:rFonts w:hint="eastAsia"/>
        </w:rPr>
        <w:tab/>
      </w:r>
      <w:r>
        <w:rPr>
          <w:rFonts w:hint="eastAsia"/>
        </w:rPr>
        <w:fldChar w:fldCharType="begin"/>
      </w:r>
      <w:r>
        <w:rPr>
          <w:rFonts w:hint="eastAsia"/>
        </w:rPr>
        <w:instrText xml:space="preserve"> </w:instrText>
      </w:r>
      <w:r>
        <w:instrText xml:space="preserve">PAGEREF _Toc240540921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79FDF63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"_Toc240540922" </w:instrText>
      </w:r>
      <w:r>
        <w:fldChar w:fldCharType="separate"/>
      </w:r>
      <w:r>
        <w:rPr>
          <w:rStyle w:val="137"/>
          <w:rFonts w:eastAsia="黑体" w:cs="Times New Roman"/>
        </w:rPr>
        <w:t>6.4 离散域极小不可行组合</w:t>
      </w:r>
      <w:r>
        <w:rPr>
          <w:rFonts w:hint="eastAsia"/>
        </w:rPr>
        <w:tab/>
      </w:r>
      <w:r>
        <w:rPr>
          <w:rFonts w:hint="eastAsia"/>
        </w:rPr>
        <w:fldChar w:fldCharType="begin"/>
      </w:r>
      <w:r>
        <w:rPr>
          <w:rFonts w:hint="eastAsia"/>
        </w:rPr>
        <w:instrText xml:space="preserve"> </w:instrText>
      </w:r>
      <w:r>
        <w:instrText xml:space="preserve">PAGEREF _Toc240540922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EDC4ED0">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"_Toc240540923" </w:instrText>
      </w:r>
      <w:r>
        <w:fldChar w:fldCharType="separate"/>
      </w:r>
      <w:r>
        <w:rPr>
          <w:rStyle w:val="137"/>
          <w:rFonts w:eastAsia="黑体" w:cs="Times New Roman"/>
        </w:rPr>
        <w:t>6.5 最低补偿单约束松弛</w:t>
      </w:r>
      <w:r>
        <w:rPr>
          <w:rFonts w:hint="eastAsia"/>
        </w:rPr>
        <w:tab/>
      </w:r>
      <w:r>
        <w:rPr>
          <w:rFonts w:hint="eastAsia"/>
        </w:rPr>
        <w:fldChar w:fldCharType="begin"/>
      </w:r>
      <w:r>
        <w:rPr>
          <w:rFonts w:hint="eastAsia"/>
        </w:rPr>
        <w:instrText xml:space="preserve"> </w:instrText>
      </w:r>
      <w:r>
        <w:instrText xml:space="preserve">PAGEREF _Toc240540923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04C85483">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"_Toc240540924" </w:instrText>
      </w:r>
      <w:r>
        <w:fldChar w:fldCharType="separate"/>
      </w:r>
      <w:r>
        <w:rPr>
          <w:rStyle w:val="137"/>
          <w:rFonts w:eastAsia="黑体" w:cs="Times New Roman"/>
        </w:rPr>
        <w:t>6.6 制度张力</w:t>
      </w:r>
      <w:r>
        <w:rPr>
          <w:rFonts w:hint="eastAsia"/>
        </w:rPr>
        <w:tab/>
      </w:r>
      <w:r>
        <w:rPr>
          <w:rFonts w:hint="eastAsia"/>
        </w:rPr>
        <w:fldChar w:fldCharType="begin"/>
      </w:r>
      <w:r>
        <w:rPr>
          <w:rFonts w:hint="eastAsia"/>
        </w:rPr>
        <w:instrText xml:space="preserve"> </w:instrText>
      </w:r>
      <w:r>
        <w:instrText xml:space="preserve">PAGEREF _Toc240540924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145EDBFE">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"_Toc240540925" </w:instrText>
      </w:r>
      <w:r>
        <w:fldChar w:fldCharType="separate"/>
      </w:r>
      <w:r>
        <w:rPr>
          <w:rStyle w:val="137"/>
          <w:rFonts w:eastAsia="黑体" w:cs="Times New Roman"/>
        </w:rPr>
        <w:t>6.7 本章小结</w:t>
      </w:r>
      <w:r>
        <w:rPr>
          <w:rFonts w:hint="eastAsia"/>
        </w:rPr>
        <w:tab/>
      </w:r>
      <w:r>
        <w:rPr>
          <w:rFonts w:hint="eastAsia"/>
        </w:rPr>
        <w:fldChar w:fldCharType="begin"/>
      </w:r>
      <w:r>
        <w:rPr>
          <w:rFonts w:hint="eastAsia"/>
        </w:rPr>
        <w:instrText xml:space="preserve"> </w:instrText>
      </w:r>
      <w:r>
        <w:instrText xml:space="preserve">PAGEREF _Toc240540925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162A4DCF">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"_Toc240540926" </w:instrText>
      </w:r>
      <w:r>
        <w:fldChar w:fldCharType="separate"/>
      </w:r>
      <w:r>
        <w:rPr>
          <w:rStyle w:val="137"/>
          <w:rFonts w:eastAsia="黑体" w:cs="Times New Roman"/>
        </w:rPr>
        <w:t>7 学院差异化权重与统一程度优化</w:t>
      </w:r>
      <w:r>
        <w:rPr>
          <w:rFonts w:hint="eastAsia"/>
        </w:rPr>
        <w:tab/>
      </w:r>
      <w:r>
        <w:rPr>
          <w:rFonts w:hint="eastAsia"/>
        </w:rPr>
        <w:fldChar w:fldCharType="begin"/>
      </w:r>
      <w:r>
        <w:rPr>
          <w:rFonts w:hint="eastAsia"/>
        </w:rPr>
        <w:instrText xml:space="preserve"> </w:instrText>
      </w:r>
      <w:r>
        <w:instrText xml:space="preserve">PAGEREF _Toc240540926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6FF7A9F4">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"_Toc240540927" </w:instrText>
      </w:r>
      <w:r>
        <w:fldChar w:fldCharType="separate"/>
      </w:r>
      <w:r>
        <w:rPr>
          <w:rStyle w:val="137"/>
          <w:rFonts w:eastAsia="黑体" w:cs="Times New Roman"/>
        </w:rPr>
        <w:t>7.1 差异化问题</w:t>
      </w:r>
      <w:r>
        <w:rPr>
          <w:rFonts w:hint="eastAsia"/>
        </w:rPr>
        <w:tab/>
      </w:r>
      <w:r>
        <w:rPr>
          <w:rFonts w:hint="eastAsia"/>
        </w:rPr>
        <w:fldChar w:fldCharType="begin"/>
      </w:r>
      <w:r>
        <w:rPr>
          <w:rFonts w:hint="eastAsia"/>
        </w:rPr>
        <w:instrText xml:space="preserve"> </w:instrText>
      </w:r>
      <w:r>
        <w:instrText xml:space="preserve">PAGEREF _Toc240540927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0B3FF8D8">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"_Toc240540928" </w:instrText>
      </w:r>
      <w:r>
        <w:fldChar w:fldCharType="separate"/>
      </w:r>
      <w:r>
        <w:rPr>
          <w:rStyle w:val="137"/>
          <w:rFonts w:eastAsia="黑体" w:cs="Times New Roman"/>
        </w:rPr>
        <w:t>7.2 D/E/F制度架构</w:t>
      </w:r>
      <w:r>
        <w:rPr>
          <w:rFonts w:hint="eastAsia"/>
        </w:rPr>
        <w:tab/>
      </w:r>
      <w:r>
        <w:rPr>
          <w:rFonts w:hint="eastAsia"/>
        </w:rPr>
        <w:fldChar w:fldCharType="begin"/>
      </w:r>
      <w:r>
        <w:rPr>
          <w:rFonts w:hint="eastAsia"/>
        </w:rPr>
        <w:instrText xml:space="preserve"> </w:instrText>
      </w:r>
      <w:r>
        <w:instrText xml:space="preserve">PAGEREF _Toc240540928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303A2C0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"_Toc240540929" </w:instrText>
      </w:r>
      <w:r>
        <w:fldChar w:fldCharType="separate"/>
      </w:r>
      <w:r>
        <w:rPr>
          <w:rStyle w:val="137"/>
          <w:rFonts w:eastAsia="黑体" w:cs="Times New Roman"/>
        </w:rPr>
        <w:t>7.3 非智育总权重的局部边界</w:t>
      </w:r>
      <w:r>
        <w:rPr>
          <w:rFonts w:hint="eastAsia"/>
        </w:rPr>
        <w:tab/>
      </w:r>
      <w:r>
        <w:rPr>
          <w:rFonts w:hint="eastAsia"/>
        </w:rPr>
        <w:fldChar w:fldCharType="begin"/>
      </w:r>
      <w:r>
        <w:rPr>
          <w:rFonts w:hint="eastAsia"/>
        </w:rPr>
        <w:instrText xml:space="preserve"> </w:instrText>
      </w:r>
      <w:r>
        <w:instrText xml:space="preserve">PAGEREF _Toc240540929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42B876F7">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"_Toc240540930" </w:instrText>
      </w:r>
      <w:r>
        <w:fldChar w:fldCharType="separate"/>
      </w:r>
      <w:r>
        <w:rPr>
          <w:rStyle w:val="137"/>
          <w:rFonts w:eastAsia="黑体" w:cs="Times New Roman"/>
        </w:rPr>
        <w:t>7.4 学业稳定情景</w:t>
      </w:r>
      <w:r>
        <w:rPr>
          <w:rFonts w:hint="eastAsia"/>
        </w:rPr>
        <w:tab/>
      </w:r>
      <w:r>
        <w:rPr>
          <w:rFonts w:hint="eastAsia"/>
        </w:rPr>
        <w:fldChar w:fldCharType="begin"/>
      </w:r>
      <w:r>
        <w:rPr>
          <w:rFonts w:hint="eastAsia"/>
        </w:rPr>
        <w:instrText xml:space="preserve"> </w:instrText>
      </w:r>
      <w:r>
        <w:instrText xml:space="preserve">PAGEREF _Toc240540930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39B8BAD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"_Toc240540931" </w:instrText>
      </w:r>
      <w:r>
        <w:fldChar w:fldCharType="separate"/>
      </w:r>
      <w:r>
        <w:rPr>
          <w:rStyle w:val="137"/>
          <w:rFonts w:eastAsia="黑体" w:cs="Times New Roman"/>
        </w:rPr>
        <w:t>7.5 平衡与全面发展情景</w:t>
      </w:r>
      <w:r>
        <w:rPr>
          <w:rFonts w:hint="eastAsia"/>
        </w:rPr>
        <w:tab/>
      </w:r>
      <w:r>
        <w:rPr>
          <w:rFonts w:hint="eastAsia"/>
        </w:rPr>
        <w:fldChar w:fldCharType="begin"/>
      </w:r>
      <w:r>
        <w:rPr>
          <w:rFonts w:hint="eastAsia"/>
        </w:rPr>
        <w:instrText xml:space="preserve"> </w:instrText>
      </w:r>
      <w:r>
        <w:instrText xml:space="preserve">PAGEREF _Toc240540931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7EE3E300">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"_Toc240540932" </w:instrText>
      </w:r>
      <w:r>
        <w:fldChar w:fldCharType="separate"/>
      </w:r>
      <w:r>
        <w:rPr>
          <w:rStyle w:val="137"/>
          <w:rFonts w:eastAsia="黑体" w:cs="Times New Roman"/>
        </w:rPr>
        <w:t>7.6 统一程度与Pareto</w:t>
      </w:r>
      <w:r>
        <w:rPr>
          <w:rFonts w:hint="eastAsia"/>
        </w:rPr>
        <w:tab/>
      </w:r>
      <w:r>
        <w:rPr>
          <w:rFonts w:hint="eastAsia"/>
        </w:rPr>
        <w:fldChar w:fldCharType="begin"/>
      </w:r>
      <w:r>
        <w:rPr>
          <w:rFonts w:hint="eastAsia"/>
        </w:rPr>
        <w:instrText xml:space="preserve"> </w:instrText>
      </w:r>
      <w:r>
        <w:instrText xml:space="preserve">PAGEREF _Toc240540932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0788799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"_Toc240540933" </w:instrText>
      </w:r>
      <w:r>
        <w:fldChar w:fldCharType="separate"/>
      </w:r>
      <w:r>
        <w:rPr>
          <w:rStyle w:val="137"/>
          <w:rFonts w:eastAsia="黑体" w:cs="Times New Roman"/>
        </w:rPr>
        <w:t>7.7 本章小结</w:t>
      </w:r>
      <w:r>
        <w:rPr>
          <w:rFonts w:hint="eastAsia"/>
        </w:rPr>
        <w:tab/>
      </w:r>
      <w:r>
        <w:rPr>
          <w:rFonts w:hint="eastAsia"/>
        </w:rPr>
        <w:fldChar w:fldCharType="begin"/>
      </w:r>
      <w:r>
        <w:rPr>
          <w:rFonts w:hint="eastAsia"/>
        </w:rPr>
        <w:instrText xml:space="preserve"> </w:instrText>
      </w:r>
      <w:r>
        <w:instrText xml:space="preserve">PAGEREF _Toc240540933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19ADD380">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"_Toc240540934" </w:instrText>
      </w:r>
      <w:r>
        <w:fldChar w:fldCharType="separate"/>
      </w:r>
      <w:r>
        <w:rPr>
          <w:rStyle w:val="137"/>
          <w:rFonts w:eastAsia="黑体" w:cs="Times New Roman"/>
        </w:rPr>
        <w:t>8 非线性综合评价机制反事实比较</w:t>
      </w:r>
      <w:r>
        <w:rPr>
          <w:rFonts w:hint="eastAsia"/>
        </w:rPr>
        <w:tab/>
      </w:r>
      <w:r>
        <w:rPr>
          <w:rFonts w:hint="eastAsia"/>
        </w:rPr>
        <w:fldChar w:fldCharType="begin"/>
      </w:r>
      <w:r>
        <w:rPr>
          <w:rFonts w:hint="eastAsia"/>
        </w:rPr>
        <w:instrText xml:space="preserve"> </w:instrText>
      </w:r>
      <w:r>
        <w:instrText xml:space="preserve">PAGEREF _Toc240540934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3C97A513">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"_Toc240540935" </w:instrText>
      </w:r>
      <w:r>
        <w:fldChar w:fldCharType="separate"/>
      </w:r>
      <w:r>
        <w:rPr>
          <w:rStyle w:val="137"/>
          <w:rFonts w:eastAsia="黑体" w:cs="Times New Roman"/>
        </w:rPr>
        <w:t>8.1 比较范围</w:t>
      </w:r>
      <w:r>
        <w:rPr>
          <w:rFonts w:hint="eastAsia"/>
        </w:rPr>
        <w:tab/>
      </w:r>
      <w:r>
        <w:rPr>
          <w:rFonts w:hint="eastAsia"/>
        </w:rPr>
        <w:fldChar w:fldCharType="begin"/>
      </w:r>
      <w:r>
        <w:rPr>
          <w:rFonts w:hint="eastAsia"/>
        </w:rPr>
        <w:instrText xml:space="preserve"> </w:instrText>
      </w:r>
      <w:r>
        <w:instrText xml:space="preserve">PAGEREF _Toc240540935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20A49FFF">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"_Toc240540936" </w:instrText>
      </w:r>
      <w:r>
        <w:fldChar w:fldCharType="separate"/>
      </w:r>
      <w:r>
        <w:rPr>
          <w:rStyle w:val="137"/>
          <w:rFonts w:eastAsia="黑体" w:cs="Times New Roman"/>
        </w:rPr>
        <w:t>8.2 资格门槛</w:t>
      </w:r>
      <w:r>
        <w:rPr>
          <w:rFonts w:hint="eastAsia"/>
        </w:rPr>
        <w:tab/>
      </w:r>
      <w:r>
        <w:rPr>
          <w:rFonts w:hint="eastAsia"/>
        </w:rPr>
        <w:fldChar w:fldCharType="begin"/>
      </w:r>
      <w:r>
        <w:rPr>
          <w:rFonts w:hint="eastAsia"/>
        </w:rPr>
        <w:instrText xml:space="preserve"> </w:instrText>
      </w:r>
      <w:r>
        <w:instrText xml:space="preserve">PAGEREF _Toc240540936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669AC829">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"_Toc240540937" </w:instrText>
      </w:r>
      <w:r>
        <w:fldChar w:fldCharType="separate"/>
      </w:r>
      <w:r>
        <w:rPr>
          <w:rStyle w:val="137"/>
          <w:rFonts w:eastAsia="黑体" w:cs="Times New Roman"/>
        </w:rPr>
        <w:t>8.3 递减奖励</w:t>
      </w:r>
      <w:r>
        <w:rPr>
          <w:rFonts w:hint="eastAsia"/>
        </w:rPr>
        <w:tab/>
      </w:r>
      <w:r>
        <w:rPr>
          <w:rFonts w:hint="eastAsia"/>
        </w:rPr>
        <w:fldChar w:fldCharType="begin"/>
      </w:r>
      <w:r>
        <w:rPr>
          <w:rFonts w:hint="eastAsia"/>
        </w:rPr>
        <w:instrText xml:space="preserve"> </w:instrText>
      </w:r>
      <w:r>
        <w:instrText xml:space="preserve">PAGEREF _Toc240540937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5AFDB485">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"_Toc240540938" </w:instrText>
      </w:r>
      <w:r>
        <w:fldChar w:fldCharType="separate"/>
      </w:r>
      <w:r>
        <w:rPr>
          <w:rStyle w:val="137"/>
          <w:rFonts w:eastAsia="黑体" w:cs="Times New Roman"/>
        </w:rPr>
        <w:t>8.4 非智育贡献封顶</w:t>
      </w:r>
      <w:r>
        <w:rPr>
          <w:rFonts w:hint="eastAsia"/>
        </w:rPr>
        <w:tab/>
      </w:r>
      <w:r>
        <w:rPr>
          <w:rFonts w:hint="eastAsia"/>
        </w:rPr>
        <w:fldChar w:fldCharType="begin"/>
      </w:r>
      <w:r>
        <w:rPr>
          <w:rFonts w:hint="eastAsia"/>
        </w:rPr>
        <w:instrText xml:space="preserve"> </w:instrText>
      </w:r>
      <w:r>
        <w:instrText xml:space="preserve">PAGEREF _Toc240540938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5203342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"_Toc240540939" </w:instrText>
      </w:r>
      <w:r>
        <w:fldChar w:fldCharType="separate"/>
      </w:r>
      <w:r>
        <w:rPr>
          <w:rStyle w:val="137"/>
          <w:rFonts w:eastAsia="黑体" w:cs="Times New Roman"/>
        </w:rPr>
        <w:t>8.5 跨架构Pareto</w:t>
      </w:r>
      <w:r>
        <w:rPr>
          <w:rFonts w:hint="eastAsia"/>
        </w:rPr>
        <w:tab/>
      </w:r>
      <w:r>
        <w:rPr>
          <w:rFonts w:hint="eastAsia"/>
        </w:rPr>
        <w:fldChar w:fldCharType="begin"/>
      </w:r>
      <w:r>
        <w:rPr>
          <w:rFonts w:hint="eastAsia"/>
        </w:rPr>
        <w:instrText xml:space="preserve"> </w:instrText>
      </w:r>
      <w:r>
        <w:instrText xml:space="preserve">PAGEREF _Toc240540939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5FF55E5D">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"_Toc240540940" </w:instrText>
      </w:r>
      <w:r>
        <w:fldChar w:fldCharType="separate"/>
      </w:r>
      <w:r>
        <w:rPr>
          <w:rStyle w:val="137"/>
          <w:rFonts w:eastAsia="黑体" w:cs="Times New Roman"/>
        </w:rPr>
        <w:t>8.6 严格支配检验</w:t>
      </w:r>
      <w:r>
        <w:rPr>
          <w:rFonts w:hint="eastAsia"/>
        </w:rPr>
        <w:tab/>
      </w:r>
      <w:r>
        <w:rPr>
          <w:rFonts w:hint="eastAsia"/>
        </w:rPr>
        <w:fldChar w:fldCharType="begin"/>
      </w:r>
      <w:r>
        <w:rPr>
          <w:rFonts w:hint="eastAsia"/>
        </w:rPr>
        <w:instrText xml:space="preserve"> </w:instrText>
      </w:r>
      <w:r>
        <w:instrText xml:space="preserve">PAGEREF _Toc240540940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63320294">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"_Toc240540941" </w:instrText>
      </w:r>
      <w:r>
        <w:fldChar w:fldCharType="separate"/>
      </w:r>
      <w:r>
        <w:rPr>
          <w:rStyle w:val="137"/>
          <w:rFonts w:eastAsia="黑体" w:cs="Times New Roman"/>
        </w:rPr>
        <w:t>8.7 制度复杂度与统计收益</w:t>
      </w:r>
      <w:r>
        <w:rPr>
          <w:rFonts w:hint="eastAsia"/>
        </w:rPr>
        <w:tab/>
      </w:r>
      <w:r>
        <w:rPr>
          <w:rFonts w:hint="eastAsia"/>
        </w:rPr>
        <w:fldChar w:fldCharType="begin"/>
      </w:r>
      <w:r>
        <w:rPr>
          <w:rFonts w:hint="eastAsia"/>
        </w:rPr>
        <w:instrText xml:space="preserve"> </w:instrText>
      </w:r>
      <w:r>
        <w:instrText xml:space="preserve">PAGEREF _Toc240540941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1099DE15">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"_Toc240540942" </w:instrText>
      </w:r>
      <w:r>
        <w:fldChar w:fldCharType="separate"/>
      </w:r>
      <w:r>
        <w:rPr>
          <w:rStyle w:val="137"/>
          <w:rFonts w:eastAsia="黑体" w:cs="Times New Roman"/>
        </w:rPr>
        <w:t>8.8 本章小结</w:t>
      </w:r>
      <w:r>
        <w:rPr>
          <w:rFonts w:hint="eastAsia"/>
        </w:rPr>
        <w:tab/>
      </w:r>
      <w:r>
        <w:rPr>
          <w:rFonts w:hint="eastAsia"/>
        </w:rPr>
        <w:fldChar w:fldCharType="begin"/>
      </w:r>
      <w:r>
        <w:rPr>
          <w:rFonts w:hint="eastAsia"/>
        </w:rPr>
        <w:instrText xml:space="preserve"> </w:instrText>
      </w:r>
      <w:r>
        <w:instrText xml:space="preserve">PAGEREF _Toc240540942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79E977D5">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"_Toc240540943" </w:instrText>
      </w:r>
      <w:r>
        <w:fldChar w:fldCharType="separate"/>
      </w:r>
      <w:r>
        <w:rPr>
          <w:rStyle w:val="137"/>
          <w:rFonts w:eastAsia="黑体" w:cs="Times New Roman"/>
        </w:rPr>
        <w:t>9 鲁棒性与独立复核</w:t>
      </w:r>
      <w:r>
        <w:rPr>
          <w:rFonts w:hint="eastAsia"/>
        </w:rPr>
        <w:tab/>
      </w:r>
      <w:r>
        <w:rPr>
          <w:rFonts w:hint="eastAsia"/>
        </w:rPr>
        <w:fldChar w:fldCharType="begin"/>
      </w:r>
      <w:r>
        <w:rPr>
          <w:rFonts w:hint="eastAsia"/>
        </w:rPr>
        <w:instrText xml:space="preserve"> </w:instrText>
      </w:r>
      <w:r>
        <w:instrText xml:space="preserve">PAGEREF _Toc240540943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0CA72D07">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"_Toc240540944" </w:instrText>
      </w:r>
      <w:r>
        <w:fldChar w:fldCharType="separate"/>
      </w:r>
      <w:r>
        <w:rPr>
          <w:rStyle w:val="137"/>
          <w:rFonts w:eastAsia="黑体" w:cs="Times New Roman"/>
        </w:rPr>
        <w:t>9.1 压力测试设计</w:t>
      </w:r>
      <w:r>
        <w:rPr>
          <w:rFonts w:hint="eastAsia"/>
        </w:rPr>
        <w:tab/>
      </w:r>
      <w:r>
        <w:rPr>
          <w:rFonts w:hint="eastAsia"/>
        </w:rPr>
        <w:fldChar w:fldCharType="begin"/>
      </w:r>
      <w:r>
        <w:rPr>
          <w:rFonts w:hint="eastAsia"/>
        </w:rPr>
        <w:instrText xml:space="preserve"> </w:instrText>
      </w:r>
      <w:r>
        <w:instrText xml:space="preserve">PAGEREF _Toc240540944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047728C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"_Toc240540945" </w:instrText>
      </w:r>
      <w:r>
        <w:fldChar w:fldCharType="separate"/>
      </w:r>
      <w:r>
        <w:rPr>
          <w:rStyle w:val="137"/>
          <w:rFonts w:eastAsia="黑体" w:cs="Times New Roman"/>
        </w:rPr>
        <w:t>9.2 并列、舍入与样本删除</w:t>
      </w:r>
      <w:r>
        <w:rPr>
          <w:rFonts w:hint="eastAsia"/>
        </w:rPr>
        <w:tab/>
      </w:r>
      <w:r>
        <w:rPr>
          <w:rFonts w:hint="eastAsia"/>
        </w:rPr>
        <w:fldChar w:fldCharType="begin"/>
      </w:r>
      <w:r>
        <w:rPr>
          <w:rFonts w:hint="eastAsia"/>
        </w:rPr>
        <w:instrText xml:space="preserve"> </w:instrText>
      </w:r>
      <w:r>
        <w:instrText xml:space="preserve">PAGEREF _Toc240540945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6A634B54">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"_Toc240540946" </w:instrText>
      </w:r>
      <w:r>
        <w:fldChar w:fldCharType="separate"/>
      </w:r>
      <w:r>
        <w:rPr>
          <w:rStyle w:val="137"/>
          <w:rFonts w:eastAsia="黑体" w:cs="Times New Roman"/>
        </w:rPr>
        <w:t>9.3 权重与参数扰动</w:t>
      </w:r>
      <w:r>
        <w:rPr>
          <w:rFonts w:hint="eastAsia"/>
        </w:rPr>
        <w:tab/>
      </w:r>
      <w:r>
        <w:rPr>
          <w:rFonts w:hint="eastAsia"/>
        </w:rPr>
        <w:fldChar w:fldCharType="begin"/>
      </w:r>
      <w:r>
        <w:rPr>
          <w:rFonts w:hint="eastAsia"/>
        </w:rPr>
        <w:instrText xml:space="preserve"> </w:instrText>
      </w:r>
      <w:r>
        <w:instrText xml:space="preserve">PAGEREF _Toc240540946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7E4DBFD6">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"_Toc240540947" </w:instrText>
      </w:r>
      <w:r>
        <w:fldChar w:fldCharType="separate"/>
      </w:r>
      <w:r>
        <w:rPr>
          <w:rStyle w:val="137"/>
          <w:rFonts w:eastAsia="黑体" w:cs="Times New Roman"/>
        </w:rPr>
        <w:t>9.4 学业稳定情景的鲁棒性</w:t>
      </w:r>
      <w:r>
        <w:rPr>
          <w:rFonts w:hint="eastAsia"/>
        </w:rPr>
        <w:tab/>
      </w:r>
      <w:r>
        <w:rPr>
          <w:rFonts w:hint="eastAsia"/>
        </w:rPr>
        <w:fldChar w:fldCharType="begin"/>
      </w:r>
      <w:r>
        <w:rPr>
          <w:rFonts w:hint="eastAsia"/>
        </w:rPr>
        <w:instrText xml:space="preserve"> </w:instrText>
      </w:r>
      <w:r>
        <w:instrText xml:space="preserve">PAGEREF _Toc240540947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07C56B48">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"_Toc240540948" </w:instrText>
      </w:r>
      <w:r>
        <w:fldChar w:fldCharType="separate"/>
      </w:r>
      <w:r>
        <w:rPr>
          <w:rStyle w:val="137"/>
          <w:rFonts w:eastAsia="黑体" w:cs="Times New Roman"/>
        </w:rPr>
        <w:t>9.5 最低补偿瓶颈稳定性</w:t>
      </w:r>
      <w:r>
        <w:rPr>
          <w:rFonts w:hint="eastAsia"/>
        </w:rPr>
        <w:tab/>
      </w:r>
      <w:r>
        <w:rPr>
          <w:rFonts w:hint="eastAsia"/>
        </w:rPr>
        <w:fldChar w:fldCharType="begin"/>
      </w:r>
      <w:r>
        <w:rPr>
          <w:rFonts w:hint="eastAsia"/>
        </w:rPr>
        <w:instrText xml:space="preserve"> </w:instrText>
      </w:r>
      <w:r>
        <w:instrText xml:space="preserve">PAGEREF _Toc240540948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14:paraId="3BB16A6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"_Toc240540949" </w:instrText>
      </w:r>
      <w:r>
        <w:fldChar w:fldCharType="separate"/>
      </w:r>
      <w:r>
        <w:rPr>
          <w:rStyle w:val="137"/>
          <w:rFonts w:eastAsia="黑体" w:cs="Times New Roman"/>
        </w:rPr>
        <w:t>9.6 独立数值复核</w:t>
      </w:r>
      <w:r>
        <w:rPr>
          <w:rFonts w:hint="eastAsia"/>
        </w:rPr>
        <w:tab/>
      </w:r>
      <w:r>
        <w:rPr>
          <w:rFonts w:hint="eastAsia"/>
        </w:rPr>
        <w:fldChar w:fldCharType="begin"/>
      </w:r>
      <w:r>
        <w:rPr>
          <w:rFonts w:hint="eastAsia"/>
        </w:rPr>
        <w:instrText xml:space="preserve"> </w:instrText>
      </w:r>
      <w:r>
        <w:instrText xml:space="preserve">PAGEREF _Toc240540949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14:paraId="204C6CB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"_Toc240540950" </w:instrText>
      </w:r>
      <w:r>
        <w:fldChar w:fldCharType="separate"/>
      </w:r>
      <w:r>
        <w:rPr>
          <w:rStyle w:val="137"/>
          <w:rFonts w:eastAsia="黑体" w:cs="Times New Roman"/>
        </w:rPr>
        <w:t>9.7 本章小结</w:t>
      </w:r>
      <w:r>
        <w:rPr>
          <w:rFonts w:hint="eastAsia"/>
        </w:rPr>
        <w:tab/>
      </w:r>
      <w:r>
        <w:rPr>
          <w:rFonts w:hint="eastAsia"/>
        </w:rPr>
        <w:fldChar w:fldCharType="begin"/>
      </w:r>
      <w:r>
        <w:rPr>
          <w:rFonts w:hint="eastAsia"/>
        </w:rPr>
        <w:instrText xml:space="preserve"> </w:instrText>
      </w:r>
      <w:r>
        <w:instrText xml:space="preserve">PAGEREF _Toc240540950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14:paraId="2EF3FDF4">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"_Toc240540951" </w:instrText>
      </w:r>
      <w:r>
        <w:fldChar w:fldCharType="separate"/>
      </w:r>
      <w:r>
        <w:rPr>
          <w:rStyle w:val="137"/>
          <w:rFonts w:eastAsia="黑体" w:cs="Times New Roman"/>
        </w:rPr>
        <w:t>10 讨论与制度启示</w:t>
      </w:r>
      <w:r>
        <w:rPr>
          <w:rFonts w:hint="eastAsia"/>
        </w:rPr>
        <w:tab/>
      </w:r>
      <w:r>
        <w:rPr>
          <w:rFonts w:hint="eastAsia"/>
        </w:rPr>
        <w:fldChar w:fldCharType="begin"/>
      </w:r>
      <w:r>
        <w:rPr>
          <w:rFonts w:hint="eastAsia"/>
        </w:rPr>
        <w:instrText xml:space="preserve"> </w:instrText>
      </w:r>
      <w:r>
        <w:instrText xml:space="preserve">PAGEREF _Toc240540951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14:paraId="61624012">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"_Toc240540952" </w:instrText>
      </w:r>
      <w:r>
        <w:fldChar w:fldCharType="separate"/>
      </w:r>
      <w:r>
        <w:rPr>
          <w:rStyle w:val="137"/>
          <w:rFonts w:eastAsia="黑体" w:cs="Times New Roman"/>
        </w:rPr>
        <w:t>10.1 名义权重与有效影响</w:t>
      </w:r>
      <w:r>
        <w:rPr>
          <w:rFonts w:hint="eastAsia"/>
        </w:rPr>
        <w:tab/>
      </w:r>
      <w:r>
        <w:rPr>
          <w:rFonts w:hint="eastAsia"/>
        </w:rPr>
        <w:fldChar w:fldCharType="begin"/>
      </w:r>
      <w:r>
        <w:rPr>
          <w:rFonts w:hint="eastAsia"/>
        </w:rPr>
        <w:instrText xml:space="preserve"> </w:instrText>
      </w:r>
      <w:r>
        <w:instrText xml:space="preserve">PAGEREF _Toc240540952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14:paraId="1140E8DB">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"_Toc240540953" </w:instrText>
      </w:r>
      <w:r>
        <w:fldChar w:fldCharType="separate"/>
      </w:r>
      <w:r>
        <w:rPr>
          <w:rStyle w:val="137"/>
          <w:rFonts w:eastAsia="黑体" w:cs="Times New Roman"/>
        </w:rPr>
        <w:t>10.2 综合评价与学业排序的边界</w:t>
      </w:r>
      <w:r>
        <w:rPr>
          <w:rFonts w:hint="eastAsia"/>
        </w:rPr>
        <w:tab/>
      </w:r>
      <w:r>
        <w:rPr>
          <w:rFonts w:hint="eastAsia"/>
        </w:rPr>
        <w:fldChar w:fldCharType="begin"/>
      </w:r>
      <w:r>
        <w:rPr>
          <w:rFonts w:hint="eastAsia"/>
        </w:rPr>
        <w:instrText xml:space="preserve"> </w:instrText>
      </w:r>
      <w:r>
        <w:instrText xml:space="preserve">PAGEREF _Toc240540953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14:paraId="0231C5C5">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"_Toc240540954" </w:instrText>
      </w:r>
      <w:r>
        <w:fldChar w:fldCharType="separate"/>
      </w:r>
      <w:r>
        <w:rPr>
          <w:rStyle w:val="137"/>
          <w:rFonts w:eastAsia="黑体" w:cs="Times New Roman"/>
        </w:rPr>
        <w:t>10.3 最低补偿留存的保障含义</w:t>
      </w:r>
      <w:r>
        <w:rPr>
          <w:rFonts w:hint="eastAsia"/>
        </w:rPr>
        <w:tab/>
      </w:r>
      <w:r>
        <w:rPr>
          <w:rFonts w:hint="eastAsia"/>
        </w:rPr>
        <w:fldChar w:fldCharType="begin"/>
      </w:r>
      <w:r>
        <w:rPr>
          <w:rFonts w:hint="eastAsia"/>
        </w:rPr>
        <w:instrText xml:space="preserve"> </w:instrText>
      </w:r>
      <w:r>
        <w:instrText xml:space="preserve">PAGEREF _Toc240540954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14:paraId="4A7CD07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"_Toc240540955" </w:instrText>
      </w:r>
      <w:r>
        <w:fldChar w:fldCharType="separate"/>
      </w:r>
      <w:r>
        <w:rPr>
          <w:rStyle w:val="137"/>
          <w:rFonts w:eastAsia="黑体" w:cs="Times New Roman"/>
        </w:rPr>
        <w:t>10.4 统一权重与学院差异化</w:t>
      </w:r>
      <w:r>
        <w:rPr>
          <w:rFonts w:hint="eastAsia"/>
        </w:rPr>
        <w:tab/>
      </w:r>
      <w:r>
        <w:rPr>
          <w:rFonts w:hint="eastAsia"/>
        </w:rPr>
        <w:fldChar w:fldCharType="begin"/>
      </w:r>
      <w:r>
        <w:rPr>
          <w:rFonts w:hint="eastAsia"/>
        </w:rPr>
        <w:instrText xml:space="preserve"> </w:instrText>
      </w:r>
      <w:r>
        <w:instrText xml:space="preserve">PAGEREF _Toc240540955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14:paraId="31570E8D">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"_Toc240540956" </w:instrText>
      </w:r>
      <w:r>
        <w:fldChar w:fldCharType="separate"/>
      </w:r>
      <w:r>
        <w:rPr>
          <w:rStyle w:val="137"/>
          <w:rFonts w:eastAsia="黑体" w:cs="Times New Roman"/>
        </w:rPr>
        <w:t>10.5 复杂机制是否优于简单机制</w:t>
      </w:r>
      <w:r>
        <w:rPr>
          <w:rFonts w:hint="eastAsia"/>
        </w:rPr>
        <w:tab/>
      </w:r>
      <w:r>
        <w:rPr>
          <w:rFonts w:hint="eastAsia"/>
        </w:rPr>
        <w:fldChar w:fldCharType="begin"/>
      </w:r>
      <w:r>
        <w:rPr>
          <w:rFonts w:hint="eastAsia"/>
        </w:rPr>
        <w:instrText xml:space="preserve"> </w:instrText>
      </w:r>
      <w:r>
        <w:instrText xml:space="preserve">PAGEREF _Toc240540956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73D5F81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"_Toc240540957" </w:instrText>
      </w:r>
      <w:r>
        <w:fldChar w:fldCharType="separate"/>
      </w:r>
      <w:r>
        <w:rPr>
          <w:rStyle w:val="137"/>
          <w:rFonts w:eastAsia="黑体" w:cs="Times New Roman"/>
        </w:rPr>
        <w:t>10.6 底线约束、发展达标与有限排序奖励</w:t>
      </w:r>
      <w:r>
        <w:rPr>
          <w:rFonts w:hint="eastAsia"/>
        </w:rPr>
        <w:tab/>
      </w:r>
      <w:r>
        <w:rPr>
          <w:rFonts w:hint="eastAsia"/>
        </w:rPr>
        <w:fldChar w:fldCharType="begin"/>
      </w:r>
      <w:r>
        <w:rPr>
          <w:rFonts w:hint="eastAsia"/>
        </w:rPr>
        <w:instrText xml:space="preserve"> </w:instrText>
      </w:r>
      <w:r>
        <w:instrText xml:space="preserve">PAGEREF _Toc240540957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729C2F8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"_Toc240540958" </w:instrText>
      </w:r>
      <w:r>
        <w:fldChar w:fldCharType="separate"/>
      </w:r>
      <w:r>
        <w:rPr>
          <w:rStyle w:val="137"/>
          <w:rFonts w:eastAsia="黑体" w:cs="Times New Roman"/>
        </w:rPr>
        <w:t>10.7 数据与政策解释边界</w:t>
      </w:r>
      <w:r>
        <w:rPr>
          <w:rFonts w:hint="eastAsia"/>
        </w:rPr>
        <w:tab/>
      </w:r>
      <w:r>
        <w:rPr>
          <w:rFonts w:hint="eastAsia"/>
        </w:rPr>
        <w:fldChar w:fldCharType="begin"/>
      </w:r>
      <w:r>
        <w:rPr>
          <w:rFonts w:hint="eastAsia"/>
        </w:rPr>
        <w:instrText xml:space="preserve"> </w:instrText>
      </w:r>
      <w:r>
        <w:instrText xml:space="preserve">PAGEREF _Toc240540958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6CD904EB">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"_Toc240540959" </w:instrText>
      </w:r>
      <w:r>
        <w:fldChar w:fldCharType="separate"/>
      </w:r>
      <w:r>
        <w:rPr>
          <w:rStyle w:val="137"/>
          <w:rFonts w:eastAsia="黑体" w:cs="Times New Roman"/>
        </w:rPr>
        <w:t>11 结论与研究不足</w:t>
      </w:r>
      <w:r>
        <w:rPr>
          <w:rFonts w:hint="eastAsia"/>
        </w:rPr>
        <w:tab/>
      </w:r>
      <w:r>
        <w:rPr>
          <w:rFonts w:hint="eastAsia"/>
        </w:rPr>
        <w:fldChar w:fldCharType="begin"/>
      </w:r>
      <w:r>
        <w:rPr>
          <w:rFonts w:hint="eastAsia"/>
        </w:rPr>
        <w:instrText xml:space="preserve"> </w:instrText>
      </w:r>
      <w:r>
        <w:instrText xml:space="preserve">PAGEREF _Toc240540959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5C9E9D56">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"_Toc240540960" </w:instrText>
      </w:r>
      <w:r>
        <w:fldChar w:fldCharType="separate"/>
      </w:r>
      <w:r>
        <w:rPr>
          <w:rStyle w:val="137"/>
          <w:rFonts w:eastAsia="黑体" w:cs="Times New Roman"/>
        </w:rPr>
        <w:t>11.1 主要结论</w:t>
      </w:r>
      <w:r>
        <w:rPr>
          <w:rFonts w:hint="eastAsia"/>
        </w:rPr>
        <w:tab/>
      </w:r>
      <w:r>
        <w:rPr>
          <w:rFonts w:hint="eastAsia"/>
        </w:rPr>
        <w:fldChar w:fldCharType="begin"/>
      </w:r>
      <w:r>
        <w:rPr>
          <w:rFonts w:hint="eastAsia"/>
        </w:rPr>
        <w:instrText xml:space="preserve"> </w:instrText>
      </w:r>
      <w:r>
        <w:instrText xml:space="preserve">PAGEREF _Toc240540960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4C06D0B8">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"_Toc240540961" </w:instrText>
      </w:r>
      <w:r>
        <w:fldChar w:fldCharType="separate"/>
      </w:r>
      <w:r>
        <w:rPr>
          <w:rStyle w:val="137"/>
          <w:rFonts w:eastAsia="黑体" w:cs="Times New Roman"/>
        </w:rPr>
        <w:t>11.2 制度启示</w:t>
      </w:r>
      <w:r>
        <w:rPr>
          <w:rFonts w:hint="eastAsia"/>
        </w:rPr>
        <w:tab/>
      </w:r>
      <w:r>
        <w:rPr>
          <w:rFonts w:hint="eastAsia"/>
        </w:rPr>
        <w:fldChar w:fldCharType="begin"/>
      </w:r>
      <w:r>
        <w:rPr>
          <w:rFonts w:hint="eastAsia"/>
        </w:rPr>
        <w:instrText xml:space="preserve"> </w:instrText>
      </w:r>
      <w:r>
        <w:instrText xml:space="preserve">PAGEREF _Toc240540961 \h</w:instrText>
      </w:r>
      <w:r>
        <w:rPr>
          <w:rFonts w:hint="eastAsia"/>
        </w:rPr>
        <w:instrText xml:space="preserve"> </w:instrText>
      </w:r>
      <w:r>
        <w:rPr>
          <w:rFonts w:hint="eastAsia"/>
        </w:rPr>
        <w:fldChar w:fldCharType="separate"/>
      </w:r>
      <w:r>
        <w:t>28</w:t>
      </w:r>
      <w:r>
        <w:rPr>
          <w:rFonts w:hint="eastAsia"/>
        </w:rPr>
        <w:fldChar w:fldCharType="end"/>
      </w:r>
      <w:r>
        <w:rPr>
          <w:rFonts w:hint="eastAsia"/>
        </w:rPr>
        <w:fldChar w:fldCharType="end"/>
      </w:r>
    </w:p>
    <w:p w14:paraId="3C8212F0">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"_Toc240540962" </w:instrText>
      </w:r>
      <w:r>
        <w:fldChar w:fldCharType="separate"/>
      </w:r>
      <w:r>
        <w:rPr>
          <w:rStyle w:val="137"/>
          <w:rFonts w:eastAsia="黑体" w:cs="Times New Roman"/>
        </w:rPr>
        <w:t>11.3 研究局限</w:t>
      </w:r>
      <w:r>
        <w:rPr>
          <w:rFonts w:hint="eastAsia"/>
        </w:rPr>
        <w:tab/>
      </w:r>
      <w:r>
        <w:rPr>
          <w:rFonts w:hint="eastAsia"/>
        </w:rPr>
        <w:fldChar w:fldCharType="begin"/>
      </w:r>
      <w:r>
        <w:rPr>
          <w:rFonts w:hint="eastAsia"/>
        </w:rPr>
        <w:instrText xml:space="preserve"> </w:instrText>
      </w:r>
      <w:r>
        <w:instrText xml:space="preserve">PAGEREF _Toc240540962 \h</w:instrText>
      </w:r>
      <w:r>
        <w:rPr>
          <w:rFonts w:hint="eastAsia"/>
        </w:rPr>
        <w:instrText xml:space="preserve"> </w:instrText>
      </w:r>
      <w:r>
        <w:rPr>
          <w:rFonts w:hint="eastAsia"/>
        </w:rPr>
        <w:fldChar w:fldCharType="separate"/>
      </w:r>
      <w:r>
        <w:t>28</w:t>
      </w:r>
      <w:r>
        <w:rPr>
          <w:rFonts w:hint="eastAsia"/>
        </w:rPr>
        <w:fldChar w:fldCharType="end"/>
      </w:r>
      <w:r>
        <w:rPr>
          <w:rFonts w:hint="eastAsia"/>
        </w:rPr>
        <w:fldChar w:fldCharType="end"/>
      </w:r>
    </w:p>
    <w:p w14:paraId="651D50D6">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"_Toc240540963" </w:instrText>
      </w:r>
      <w:r>
        <w:fldChar w:fldCharType="separate"/>
      </w:r>
      <w:r>
        <w:rPr>
          <w:rStyle w:val="137"/>
          <w:rFonts w:eastAsia="黑体" w:cs="Times New Roman"/>
        </w:rPr>
        <w:t>11.4 后续研究</w:t>
      </w:r>
      <w:r>
        <w:rPr>
          <w:rFonts w:hint="eastAsia"/>
        </w:rPr>
        <w:tab/>
      </w:r>
      <w:r>
        <w:rPr>
          <w:rFonts w:hint="eastAsia"/>
        </w:rPr>
        <w:fldChar w:fldCharType="begin"/>
      </w:r>
      <w:r>
        <w:rPr>
          <w:rFonts w:hint="eastAsia"/>
        </w:rPr>
        <w:instrText xml:space="preserve"> </w:instrText>
      </w:r>
      <w:r>
        <w:instrText xml:space="preserve">PAGEREF _Toc240540963 \h</w:instrText>
      </w:r>
      <w:r>
        <w:rPr>
          <w:rFonts w:hint="eastAsia"/>
        </w:rPr>
        <w:instrText xml:space="preserve"> </w:instrText>
      </w:r>
      <w:r>
        <w:rPr>
          <w:rFonts w:hint="eastAsia"/>
        </w:rPr>
        <w:fldChar w:fldCharType="separate"/>
      </w:r>
      <w:r>
        <w:t>28</w:t>
      </w:r>
      <w:r>
        <w:rPr>
          <w:rFonts w:hint="eastAsia"/>
        </w:rPr>
        <w:fldChar w:fldCharType="end"/>
      </w:r>
      <w:r>
        <w:rPr>
          <w:rFonts w:hint="eastAsia"/>
        </w:rPr>
        <w:fldChar w:fldCharType="end"/>
      </w:r>
    </w:p>
    <w:p w14:paraId="30B2FECE">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"_Toc240540964" </w:instrText>
      </w:r>
      <w:r>
        <w:fldChar w:fldCharType="separate"/>
      </w:r>
      <w:r>
        <w:rPr>
          <w:rStyle w:val="137"/>
          <w:rFonts w:eastAsia="黑体" w:cs="Times New Roman"/>
        </w:rPr>
        <w:t>参考文献</w:t>
      </w:r>
      <w:r>
        <w:rPr>
          <w:rFonts w:hint="eastAsia"/>
        </w:rPr>
        <w:tab/>
      </w:r>
      <w:r>
        <w:rPr>
          <w:rFonts w:hint="eastAsia"/>
        </w:rPr>
        <w:fldChar w:fldCharType="begin"/>
      </w:r>
      <w:r>
        <w:rPr>
          <w:rFonts w:hint="eastAsia"/>
        </w:rPr>
        <w:instrText xml:space="preserve"> </w:instrText>
      </w:r>
      <w:r>
        <w:instrText xml:space="preserve">PAGEREF _Toc240540964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14:paraId="5DE5EF3D">
      <w:pPr>
        <w:pStyle w:val="26"/>
        <w:tabs>
          <w:tab w:val="right" w:leader="dot" w:pos="8948"/>
        </w:tabs>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"_Toc240540965" </w:instrText>
      </w:r>
      <w:r>
        <w:fldChar w:fldCharType="separate"/>
      </w:r>
      <w:r>
        <w:rPr>
          <w:rStyle w:val="137"/>
          <w:rFonts w:eastAsia="黑体" w:cs="Times New Roman"/>
        </w:rPr>
        <w:t>附录</w:t>
      </w:r>
      <w:r>
        <w:rPr>
          <w:rFonts w:hint="eastAsia"/>
        </w:rPr>
        <w:tab/>
      </w:r>
      <w:r>
        <w:rPr>
          <w:rFonts w:hint="eastAsia"/>
        </w:rPr>
        <w:fldChar w:fldCharType="begin"/>
      </w:r>
      <w:r>
        <w:rPr>
          <w:rFonts w:hint="eastAsia"/>
        </w:rPr>
        <w:instrText xml:space="preserve"> </w:instrText>
      </w:r>
      <w:r>
        <w:instrText xml:space="preserve">PAGEREF _Toc240540965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5917DF29">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"_Toc240540966" </w:instrText>
      </w:r>
      <w:r>
        <w:fldChar w:fldCharType="separate"/>
      </w:r>
      <w:r>
        <w:rPr>
          <w:rStyle w:val="137"/>
          <w:rFonts w:eastAsia="黑体" w:cs="Times New Roman"/>
        </w:rPr>
        <w:t>附录A 主要符号</w:t>
      </w:r>
      <w:r>
        <w:rPr>
          <w:rFonts w:hint="eastAsia"/>
        </w:rPr>
        <w:tab/>
      </w:r>
      <w:r>
        <w:rPr>
          <w:rFonts w:hint="eastAsia"/>
        </w:rPr>
        <w:fldChar w:fldCharType="begin"/>
      </w:r>
      <w:r>
        <w:rPr>
          <w:rFonts w:hint="eastAsia"/>
        </w:rPr>
        <w:instrText xml:space="preserve"> </w:instrText>
      </w:r>
      <w:r>
        <w:instrText xml:space="preserve">PAGEREF _Toc240540966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03D9063C">
      <w:pPr>
        <w:pStyle w:val="29"/>
        <w:tabs>
          <w:tab w:val="right" w:leader="dot" w:pos="8948"/>
        </w:tabs>
        <w:ind w:left="480"/>
        <w:rPr>
          <w:rFonts w:hint="eastAsia" w:asciiTheme="minorHAnsi" w:hAnsiTheme="minorHAnsi" w:eastAsiaTheme="minorEastAsia"/>
          <w:kern w:val="2"/>
          <w:sz w:val="22"/>
          <w:szCs w:val="24"/>
          <w:lang w:eastAsia="zh-CN"/>
          <w14:ligatures w14:val="standardContextual"/>
        </w:rPr>
      </w:pPr>
      <w:r>
        <w:fldChar w:fldCharType="begin"/>
      </w:r>
      <w:r>
        <w:instrText xml:space="preserve"> HYPERLINK \l "_Toc240540967" </w:instrText>
      </w:r>
      <w:r>
        <w:fldChar w:fldCharType="separate"/>
      </w:r>
      <w:r>
        <w:rPr>
          <w:rStyle w:val="137"/>
          <w:rFonts w:eastAsia="黑体" w:cs="Times New Roman"/>
        </w:rPr>
        <w:t>附录B 证据等级与复现范围</w:t>
      </w:r>
      <w:r>
        <w:rPr>
          <w:rFonts w:hint="eastAsia"/>
        </w:rPr>
        <w:tab/>
      </w:r>
      <w:r>
        <w:rPr>
          <w:rFonts w:hint="eastAsia"/>
        </w:rPr>
        <w:fldChar w:fldCharType="begin"/>
      </w:r>
      <w:r>
        <w:rPr>
          <w:rFonts w:hint="eastAsia"/>
        </w:rPr>
        <w:instrText xml:space="preserve"> </w:instrText>
      </w:r>
      <w:r>
        <w:instrText xml:space="preserve">PAGEREF _Toc240540967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742A894F">
      <w:pPr>
        <w:ind w:firstLine="0"/>
      </w:pPr>
      <w:r>
        <w:rPr>
          <w:rFonts w:cs="Times New Roman"/>
          <w:sz w:val="21"/>
        </w:rPr>
        <w:fldChar w:fldCharType="end"/>
      </w:r>
    </w:p>
    <w:p w14:paraId="1EE28D85">
      <w:pPr>
        <w:pStyle w:val="3"/>
        <w:pageBreakBefore/>
      </w:pPr>
      <w:bookmarkStart w:id="0" w:name="_Toc240540882"/>
      <w:r>
        <w:rPr>
          <w:rFonts w:ascii="Times New Roman" w:hAnsi="Times New Roman" w:eastAsia="黑体" w:cs="Times New Roman"/>
        </w:rPr>
        <w:t>1 引言</w:t>
      </w:r>
      <w:bookmarkEnd w:id="0"/>
    </w:p>
    <w:p w14:paraId="745BD77E">
      <w:pPr>
        <w:pStyle w:val="4"/>
      </w:pPr>
      <w:bookmarkStart w:id="1" w:name="_Toc240540883"/>
      <w:r>
        <w:rPr>
          <w:rFonts w:ascii="Times New Roman" w:hAnsi="Times New Roman" w:eastAsia="黑体" w:cs="Times New Roman"/>
        </w:rPr>
        <w:t>1.1 研究背景</w:t>
      </w:r>
      <w:bookmarkEnd w:id="1"/>
    </w:p>
    <w:p w14:paraId="0266F51D">
      <w:r>
        <w:rPr>
          <w:rFonts w:cs="Times New Roman"/>
        </w:rPr>
        <w:t>综合素质评价把课程学习、德育和发展性表现纳入同一计分体系，使多维表现能够进入学生评奖评优等竞争性评价。加权综合评价是成熟的多指标聚合方法，其结果同时受权重、指标离散程度、相关结构和聚合规则影响[1-3]。因此，制度表中的25%或30%只说明名义份额，不能直接说明某一分项改变名次的实际强度。</w:t>
      </w:r>
    </w:p>
    <w:p w14:paraId="42D60239">
      <w:r>
        <w:rPr>
          <w:rFonts w:cs="Times New Roman"/>
        </w:rPr>
        <w:t>权重讨论还涉及价值表达与排序技术的区分。德育和发展素质具有教育价值，但这一价值可以通过底线约束、达标条件、分档奖励或连续排序分值表达。价值重要性本身不能推出某一固定比例的连续线性权重。本文把研究对象限定为可计算的排序后果：现行计分如何改变智育次序与头部名单，权重调整如何在学业稳定和非智育补偿之间形成取舍。</w:t>
      </w:r>
    </w:p>
    <w:p w14:paraId="27201064">
      <w:pPr>
        <w:pStyle w:val="4"/>
      </w:pPr>
      <w:bookmarkStart w:id="2" w:name="_Toc240540884"/>
      <w:r>
        <w:rPr>
          <w:rFonts w:ascii="Times New Roman" w:hAnsi="Times New Roman" w:eastAsia="黑体" w:cs="Times New Roman"/>
        </w:rPr>
        <w:t>1.2 问题提出</w:t>
      </w:r>
      <w:bookmarkEnd w:id="2"/>
    </w:p>
    <w:p w14:paraId="142181FB">
      <w:r>
        <w:rPr>
          <w:rFonts w:cs="Times New Roman"/>
        </w:rPr>
        <w:t>现有业务资料覆盖五个学院，但数据身份并不一致。化工、法学院和计算机学院具备完整或近完整参评母集的内部证据；生科有5个可用专业单元和1个需要隔离的生态单元；数信文件缺少完整名册、总人数对照和用途说明。若把来源未确认名单与完整母集并列为学院总体，Top-q、补偿留存和最坏学院约束将失去同口径基础。本文先解决“数据能够支持什么”这一前提，再讨论模型结果。</w:t>
      </w:r>
    </w:p>
    <w:p w14:paraId="64842FC1">
      <w:r>
        <w:rPr>
          <w:rFonts w:cs="Times New Roman"/>
        </w:rPr>
        <w:t>在合法样本范围内，需要回答四类问题：现行综合评价对学业次序和头部名单产生多大重构；简单降权能否稳定减少中等学业差距逆转；一套统一权重能否同时满足不同组别的多项目标；学院差异化或非线性机制能否在多目标意义上替代简单线性调整。</w:t>
      </w:r>
    </w:p>
    <w:p w14:paraId="3E28FA72">
      <w:pPr>
        <w:pStyle w:val="4"/>
      </w:pPr>
      <w:bookmarkStart w:id="3" w:name="_Toc240540885"/>
      <w:r>
        <w:rPr>
          <w:rFonts w:ascii="Times New Roman" w:hAnsi="Times New Roman" w:eastAsia="黑体" w:cs="Times New Roman"/>
        </w:rPr>
        <w:t>1.3 研究目标与研究问题</w:t>
      </w:r>
      <w:bookmarkEnd w:id="3"/>
    </w:p>
    <w:p w14:paraId="451CC081">
      <w:r>
        <w:rPr>
          <w:rFonts w:cs="Times New Roman"/>
        </w:rPr>
        <w:t>本文以Strict为正式主结果，以Extended检验加入生科有效单元后的样本敏感性，以数信观察名单内部结果补充数据结构说明。研究问题依次为：第一，现行规则的排名位移、成对逆转和Top-q集合变化如何；第二，固定成绩下不同降权路径的收益与名单代价如何；第三，三类研究情景下统一权重是否存在共同可行域及其冲突来源；第四，有限差异化和非线性机制是否提供不可被简单方案替代的统计组合；第五，结论对并列、舍入、样本删除和参数扰动是否稳定。</w:t>
      </w:r>
    </w:p>
    <w:p w14:paraId="7B11ED93">
      <w:pPr>
        <w:pStyle w:val="4"/>
      </w:pPr>
      <w:bookmarkStart w:id="4" w:name="_Toc240540886"/>
      <w:r>
        <w:rPr>
          <w:rFonts w:ascii="Times New Roman" w:hAnsi="Times New Roman" w:eastAsia="黑体" w:cs="Times New Roman"/>
        </w:rPr>
        <w:t>1.4 研究思路与技术路线</w:t>
      </w:r>
      <w:bookmarkEnd w:id="4"/>
    </w:p>
    <w:p w14:paraId="79D42300">
      <w:r>
        <w:rPr>
          <w:rFonts w:cs="Times New Roman"/>
        </w:rPr>
        <w:t>研究先核验原始文件、字段来源、官方名次和排序单元完整性，再按证据等级确定分析集合。模型部分从学生对、头部集合和补偿成员三个层次刻画排序效应；反事实部分固定每名学生的三项制度分，只替换计分规则；优化部分在既定离散候选域中检查硬约束交集，并用Pareto关系保留多目标权衡；最后以两套合法样本、压力测试和独立计算路线复核主要结论。</w:t>
      </w:r>
    </w:p>
    <w:p w14:paraId="5A4FA7EA">
      <w:r>
        <w:rPr>
          <w:rFonts w:cs="Times New Roman"/>
        </w:rPr>
        <w:t>这一路线不把固定成绩what-if分析解释为因果推断，也不把情景阈值解释为学校现行政策标准。模型的任务是揭示约束关系、边界和代价，政策选择仍需结合制度目的和程序合法性。</w:t>
      </w:r>
    </w:p>
    <w:p w14:paraId="3CE9B205">
      <w:pPr>
        <w:pStyle w:val="4"/>
      </w:pPr>
      <w:bookmarkStart w:id="5" w:name="_Toc240540887"/>
      <w:r>
        <w:rPr>
          <w:rFonts w:ascii="Times New Roman" w:hAnsi="Times New Roman" w:eastAsia="黑体" w:cs="Times New Roman"/>
        </w:rPr>
        <w:t>1.5 研究贡献</w:t>
      </w:r>
      <w:bookmarkEnd w:id="5"/>
    </w:p>
    <w:p w14:paraId="6C5F46E0">
      <w:r>
        <w:rPr>
          <w:rFonts w:cs="Times New Roman"/>
        </w:rPr>
        <w:t>本文的贡献集中在三个方面。第一，在成熟的成对不一致和Top-q集合比较基础上，形成同时覆盖整体次序、头部名单和补偿成员的综合评价诊断框架[4-7]。第二，定义非智育补偿成员及其留存率，并以合法组别中的最低留存表达worst-group保障；该指标属于问题特定构造，其上位思想来自Top-k稳定性和最差群体优化[7-9]。第三，把数据适用性审计嵌入权重可行域、有限异质权重和非线性比较，使每项结果具有明确的样本解释范围。</w:t>
      </w:r>
    </w:p>
    <w:p w14:paraId="1E2EF025">
      <w:r>
        <w:rPr>
          <w:rFonts w:cs="Times New Roman"/>
        </w:rPr>
        <w:t>线性加权、敏感性分析、Pareto、极小不可行子集思想、门槛、递减边际价值和贡献封顶均为成熟方法[2,3,10-13]。本文的增量在于指标组织、合法样本治理和制度问题适配，不涉及通用算法首创。</w:t>
      </w:r>
    </w:p>
    <w:p w14:paraId="09BF7D28">
      <w:pPr>
        <w:pStyle w:val="3"/>
      </w:pPr>
      <w:bookmarkStart w:id="6" w:name="_Toc240540888"/>
      <w:r>
        <w:rPr>
          <w:rFonts w:ascii="Times New Roman" w:hAnsi="Times New Roman" w:eastAsia="黑体" w:cs="Times New Roman"/>
        </w:rPr>
        <w:t>2 制度背景、数据与评价结构</w:t>
      </w:r>
      <w:bookmarkEnd w:id="6"/>
    </w:p>
    <w:p w14:paraId="12312679">
      <w:pPr>
        <w:pStyle w:val="4"/>
      </w:pPr>
      <w:bookmarkStart w:id="7" w:name="_Toc240540889"/>
      <w:r>
        <w:rPr>
          <w:rFonts w:ascii="Times New Roman" w:hAnsi="Times New Roman" w:eastAsia="黑体" w:cs="Times New Roman"/>
        </w:rPr>
        <w:t>2.1 综合素质评价制度背景</w:t>
      </w:r>
      <w:bookmarkEnd w:id="7"/>
    </w:p>
    <w:p w14:paraId="029DB99E">
      <w:r>
        <w:rPr>
          <w:rFonts w:cs="Times New Roman"/>
        </w:rPr>
        <w:t>本研究取得的业务工作簿以智育、德育和发展素质三类制度分形成综合成绩，并在年级、专业或培养类型对应的排序单元内生成名次。该结构使非智育表现获得连续排序作用，同时也可能改变已有学业差距对应的先后次序。本文评价的不是三类育人目标的价值高低，而是连续计分进入竞争排序后的可观察后果。</w:t>
      </w:r>
    </w:p>
    <w:p w14:paraId="77E684B6">
      <w:r>
        <w:rPr>
          <w:rFonts w:cs="Times New Roman"/>
        </w:rPr>
        <w:t>严格核心样本中，化工和法学院采用智育75%、德育10%、发展素质15%的结构；计算机学院采用70%、10%、20%的结构。Extended加入的生科5个有效专业单元采用75%、10%、15%结构。计算机权重来自分项与总分的全样本数值识别，其他权重由表头、贡献分关系和数据提供信息共同支持。现有材料能够核验计分与名次，不能完整覆盖综合评价的全部行政用途，故正文只讨论已观察到的排序功能。</w:t>
      </w:r>
    </w:p>
    <w:p w14:paraId="617E41AA">
      <w:pPr>
        <w:pStyle w:val="4"/>
      </w:pPr>
      <w:bookmarkStart w:id="8" w:name="_Toc240540890"/>
      <w:r>
        <w:rPr>
          <w:rFonts w:ascii="Times New Roman" w:hAnsi="Times New Roman" w:eastAsia="黑体" w:cs="Times New Roman"/>
        </w:rPr>
        <w:t>2.2 数据来源与研究样本</w:t>
      </w:r>
      <w:bookmarkEnd w:id="8"/>
    </w:p>
    <w:p w14:paraId="43A9F7CA">
      <w:r>
        <w:rPr>
          <w:rFonts w:cs="Times New Roman"/>
        </w:rPr>
        <w:t>原始资料包括化工2024级和2025级、数信2023—2025级、法学院2023—2025级、生科2024级及计算机2023—2025级业务工作簿，共3029条记录。数据适用性审计依据名次是否从1开始、范围是否闭合、次序是否与总分一致、是否包含低分尾部以及是否有完整名册或用途说明，对学院和排序单元进行分层。</w:t>
      </w:r>
    </w:p>
    <w:p w14:paraId="6A93E2D6">
      <w:pPr>
        <w:pStyle w:val="15"/>
        <w:keepNext/>
      </w:pPr>
      <w:r>
        <w:t xml:space="preserve">表 </w:t>
      </w:r>
      <w:r>
        <w:rPr>
          <w:rFonts w:cs="Times New Roman"/>
        </w:rPr>
        <w:fldChar w:fldCharType="begin"/>
      </w:r>
      <w:r>
        <w:rPr>
          <w:rFonts w:cs="Times New Roman"/>
        </w:rPr>
        <w:instrText xml:space="preserve">SEQ Table \* ARABIC</w:instrText>
      </w:r>
      <w:r>
        <w:rPr>
          <w:rFonts w:cs="Times New Roman"/>
        </w:rPr>
        <w:fldChar w:fldCharType="separate"/>
      </w:r>
      <w:r>
        <w:rPr>
          <w:rFonts w:cs="Times New Roman"/>
        </w:rPr>
        <w:t>1</w:t>
      </w:r>
      <w:r>
        <w:rPr>
          <w:rFonts w:cs="Times New Roman"/>
        </w:rPr>
        <w:fldChar w:fldCharType="end"/>
      </w:r>
      <w:r>
        <w:rPr>
          <w:rFonts w:cs="Times New Roman"/>
        </w:rPr>
        <w:t xml:space="preserve"> 样本证据层级与分析用途</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3"/>
        <w:gridCol w:w="1493"/>
        <w:gridCol w:w="1493"/>
        <w:gridCol w:w="1493"/>
        <w:gridCol w:w="1493"/>
        <w:gridCol w:w="1493"/>
      </w:tblGrid>
      <w:tr w14:paraId="0A802D2C">
        <w:trPr>
          <w:jc w:val="center"/>
        </w:trPr>
        <w:tc>
          <w:tcPr>
            <w:tcW w:w="1493" w:type="dxa"/>
            <w:shd w:val="clear" w:color="auto" w:fill="D9EAF2"/>
            <w:vAlign w:val="center"/>
          </w:tcPr>
          <w:p w14:paraId="46721F82">
            <w:pPr>
              <w:spacing w:line="276" w:lineRule="auto"/>
              <w:ind w:firstLine="0"/>
              <w:jc w:val="center"/>
            </w:pPr>
            <w:r>
              <w:rPr>
                <w:rFonts w:cs="Times New Roman"/>
                <w:b/>
                <w:sz w:val="19"/>
              </w:rPr>
              <w:t>证据等级</w:t>
            </w:r>
          </w:p>
        </w:tc>
        <w:tc>
          <w:tcPr>
            <w:tcW w:w="1493" w:type="dxa"/>
            <w:shd w:val="clear" w:color="auto" w:fill="D9EAF2"/>
            <w:vAlign w:val="center"/>
          </w:tcPr>
          <w:p w14:paraId="232F8A0E">
            <w:pPr>
              <w:spacing w:line="276" w:lineRule="auto"/>
              <w:ind w:firstLine="0"/>
              <w:jc w:val="center"/>
            </w:pPr>
            <w:r>
              <w:rPr>
                <w:rFonts w:cs="Times New Roman"/>
                <w:b/>
                <w:sz w:val="19"/>
              </w:rPr>
              <w:t>分析口径</w:t>
            </w:r>
          </w:p>
        </w:tc>
        <w:tc>
          <w:tcPr>
            <w:tcW w:w="1493" w:type="dxa"/>
            <w:shd w:val="clear" w:color="auto" w:fill="D9EAF2"/>
            <w:vAlign w:val="center"/>
          </w:tcPr>
          <w:p w14:paraId="71D00E07">
            <w:pPr>
              <w:spacing w:line="276" w:lineRule="auto"/>
              <w:ind w:firstLine="0"/>
              <w:jc w:val="center"/>
            </w:pPr>
            <w:r>
              <w:rPr>
                <w:rFonts w:cs="Times New Roman"/>
                <w:b/>
                <w:sz w:val="19"/>
              </w:rPr>
              <w:t>学生数</w:t>
            </w:r>
          </w:p>
        </w:tc>
        <w:tc>
          <w:tcPr>
            <w:tcW w:w="1493" w:type="dxa"/>
            <w:shd w:val="clear" w:color="auto" w:fill="D9EAF2"/>
            <w:vAlign w:val="center"/>
          </w:tcPr>
          <w:p w14:paraId="55B725AB">
            <w:pPr>
              <w:spacing w:line="276" w:lineRule="auto"/>
              <w:ind w:firstLine="0"/>
              <w:jc w:val="center"/>
            </w:pPr>
            <w:r>
              <w:rPr>
                <w:rFonts w:cs="Times New Roman"/>
                <w:b/>
                <w:sz w:val="19"/>
              </w:rPr>
              <w:t>排序单元</w:t>
            </w:r>
          </w:p>
        </w:tc>
        <w:tc>
          <w:tcPr>
            <w:tcW w:w="1493" w:type="dxa"/>
            <w:shd w:val="clear" w:color="auto" w:fill="D9EAF2"/>
            <w:vAlign w:val="center"/>
          </w:tcPr>
          <w:p w14:paraId="6E2CE62A">
            <w:pPr>
              <w:spacing w:line="276" w:lineRule="auto"/>
              <w:ind w:firstLine="0"/>
              <w:jc w:val="center"/>
            </w:pPr>
            <w:r>
              <w:rPr>
                <w:rFonts w:cs="Times New Roman"/>
                <w:b/>
                <w:sz w:val="19"/>
              </w:rPr>
              <w:t>纳入对象</w:t>
            </w:r>
          </w:p>
        </w:tc>
        <w:tc>
          <w:tcPr>
            <w:tcW w:w="1493" w:type="dxa"/>
            <w:shd w:val="clear" w:color="auto" w:fill="D9EAF2"/>
            <w:vAlign w:val="center"/>
          </w:tcPr>
          <w:p w14:paraId="4B86B951">
            <w:pPr>
              <w:spacing w:line="276" w:lineRule="auto"/>
              <w:ind w:firstLine="0"/>
              <w:jc w:val="center"/>
            </w:pPr>
            <w:r>
              <w:rPr>
                <w:rFonts w:cs="Times New Roman"/>
                <w:b/>
                <w:sz w:val="19"/>
              </w:rPr>
              <w:t>正文用途</w:t>
            </w:r>
          </w:p>
        </w:tc>
      </w:tr>
      <w:tr w14:paraId="626E3195">
        <w:trPr>
          <w:jc w:val="center"/>
        </w:trPr>
        <w:tc>
          <w:tcPr>
            <w:tcW w:w="1493" w:type="dxa"/>
            <w:vAlign w:val="center"/>
          </w:tcPr>
          <w:p w14:paraId="7251B52B">
            <w:pPr>
              <w:spacing w:line="276" w:lineRule="auto"/>
              <w:ind w:firstLine="0"/>
              <w:jc w:val="left"/>
            </w:pPr>
            <w:r>
              <w:rPr>
                <w:rFonts w:cs="Times New Roman"/>
                <w:sz w:val="19"/>
              </w:rPr>
              <w:t>Level A</w:t>
            </w:r>
          </w:p>
        </w:tc>
        <w:tc>
          <w:tcPr>
            <w:tcW w:w="1493" w:type="dxa"/>
            <w:vAlign w:val="center"/>
          </w:tcPr>
          <w:p w14:paraId="43A017B3">
            <w:pPr>
              <w:spacing w:line="276" w:lineRule="auto"/>
              <w:ind w:firstLine="0"/>
              <w:jc w:val="left"/>
            </w:pPr>
            <w:r>
              <w:rPr>
                <w:rFonts w:cs="Times New Roman"/>
                <w:sz w:val="19"/>
              </w:rPr>
              <w:t>Strict</w:t>
            </w:r>
          </w:p>
        </w:tc>
        <w:tc>
          <w:tcPr>
            <w:tcW w:w="1493" w:type="dxa"/>
            <w:vAlign w:val="center"/>
          </w:tcPr>
          <w:p w14:paraId="6FBA0936">
            <w:pPr>
              <w:spacing w:line="276" w:lineRule="auto"/>
              <w:ind w:firstLine="0"/>
              <w:jc w:val="left"/>
            </w:pPr>
            <w:r>
              <w:rPr>
                <w:rFonts w:cs="Times New Roman"/>
                <w:sz w:val="19"/>
              </w:rPr>
              <w:t>2364</w:t>
            </w:r>
          </w:p>
        </w:tc>
        <w:tc>
          <w:tcPr>
            <w:tcW w:w="1493" w:type="dxa"/>
            <w:vAlign w:val="center"/>
          </w:tcPr>
          <w:p w14:paraId="4F005EFE">
            <w:pPr>
              <w:spacing w:line="276" w:lineRule="auto"/>
              <w:ind w:firstLine="0"/>
              <w:jc w:val="left"/>
            </w:pPr>
            <w:r>
              <w:rPr>
                <w:rFonts w:cs="Times New Roman"/>
                <w:sz w:val="19"/>
              </w:rPr>
              <w:t>17</w:t>
            </w:r>
          </w:p>
        </w:tc>
        <w:tc>
          <w:tcPr>
            <w:tcW w:w="1493" w:type="dxa"/>
            <w:vAlign w:val="center"/>
          </w:tcPr>
          <w:p w14:paraId="5C491236">
            <w:pPr>
              <w:spacing w:line="276" w:lineRule="auto"/>
              <w:ind w:firstLine="0"/>
              <w:jc w:val="left"/>
            </w:pPr>
            <w:r>
              <w:rPr>
                <w:rFonts w:cs="Times New Roman"/>
                <w:sz w:val="19"/>
              </w:rPr>
              <w:t>化工、法学院、计算机</w:t>
            </w:r>
          </w:p>
        </w:tc>
        <w:tc>
          <w:tcPr>
            <w:tcW w:w="1493" w:type="dxa"/>
            <w:vAlign w:val="center"/>
          </w:tcPr>
          <w:p w14:paraId="7A4C7695">
            <w:pPr>
              <w:spacing w:line="276" w:lineRule="auto"/>
              <w:ind w:firstLine="0"/>
              <w:jc w:val="left"/>
            </w:pPr>
            <w:r>
              <w:rPr>
                <w:rFonts w:cs="Times New Roman"/>
                <w:sz w:val="19"/>
              </w:rPr>
              <w:t>正式主结果</w:t>
            </w:r>
          </w:p>
        </w:tc>
      </w:tr>
      <w:tr w14:paraId="427A93C4">
        <w:trPr>
          <w:jc w:val="center"/>
        </w:trPr>
        <w:tc>
          <w:tcPr>
            <w:tcW w:w="1493" w:type="dxa"/>
            <w:vAlign w:val="center"/>
          </w:tcPr>
          <w:p w14:paraId="3870F9EB">
            <w:pPr>
              <w:spacing w:line="276" w:lineRule="auto"/>
              <w:ind w:firstLine="0"/>
              <w:jc w:val="left"/>
            </w:pPr>
            <w:r>
              <w:rPr>
                <w:rFonts w:cs="Times New Roman"/>
                <w:sz w:val="19"/>
              </w:rPr>
              <w:t>Level B</w:t>
            </w:r>
          </w:p>
        </w:tc>
        <w:tc>
          <w:tcPr>
            <w:tcW w:w="1493" w:type="dxa"/>
            <w:vAlign w:val="center"/>
          </w:tcPr>
          <w:p w14:paraId="61308F93">
            <w:pPr>
              <w:spacing w:line="276" w:lineRule="auto"/>
              <w:ind w:firstLine="0"/>
              <w:jc w:val="left"/>
            </w:pPr>
            <w:r>
              <w:rPr>
                <w:rFonts w:cs="Times New Roman"/>
                <w:sz w:val="19"/>
              </w:rPr>
              <w:t>Extended</w:t>
            </w:r>
          </w:p>
        </w:tc>
        <w:tc>
          <w:tcPr>
            <w:tcW w:w="1493" w:type="dxa"/>
            <w:vAlign w:val="center"/>
          </w:tcPr>
          <w:p w14:paraId="1F00E720">
            <w:pPr>
              <w:spacing w:line="276" w:lineRule="auto"/>
              <w:ind w:firstLine="0"/>
              <w:jc w:val="left"/>
            </w:pPr>
            <w:r>
              <w:rPr>
                <w:rFonts w:cs="Times New Roman"/>
                <w:sz w:val="19"/>
              </w:rPr>
              <w:t>2692</w:t>
            </w:r>
          </w:p>
        </w:tc>
        <w:tc>
          <w:tcPr>
            <w:tcW w:w="1493" w:type="dxa"/>
            <w:vAlign w:val="center"/>
          </w:tcPr>
          <w:p w14:paraId="00AF7F9C">
            <w:pPr>
              <w:spacing w:line="276" w:lineRule="auto"/>
              <w:ind w:firstLine="0"/>
              <w:jc w:val="left"/>
            </w:pPr>
            <w:r>
              <w:rPr>
                <w:rFonts w:cs="Times New Roman"/>
                <w:sz w:val="19"/>
              </w:rPr>
              <w:t>22</w:t>
            </w:r>
          </w:p>
        </w:tc>
        <w:tc>
          <w:tcPr>
            <w:tcW w:w="1493" w:type="dxa"/>
            <w:vAlign w:val="center"/>
          </w:tcPr>
          <w:p w14:paraId="67BF3400">
            <w:pPr>
              <w:spacing w:line="276" w:lineRule="auto"/>
              <w:ind w:firstLine="0"/>
              <w:jc w:val="left"/>
            </w:pPr>
            <w:r>
              <w:rPr>
                <w:rFonts w:cs="Times New Roman"/>
                <w:sz w:val="19"/>
              </w:rPr>
              <w:t>Strict加生科5个有效专业单元</w:t>
            </w:r>
          </w:p>
        </w:tc>
        <w:tc>
          <w:tcPr>
            <w:tcW w:w="1493" w:type="dxa"/>
            <w:vAlign w:val="center"/>
          </w:tcPr>
          <w:p w14:paraId="2D3AC3E9">
            <w:pPr>
              <w:spacing w:line="276" w:lineRule="auto"/>
              <w:ind w:firstLine="0"/>
              <w:jc w:val="left"/>
            </w:pPr>
            <w:r>
              <w:rPr>
                <w:rFonts w:cs="Times New Roman"/>
                <w:sz w:val="19"/>
              </w:rPr>
              <w:t>样本敏感性</w:t>
            </w:r>
          </w:p>
        </w:tc>
      </w:tr>
      <w:tr w14:paraId="17ED4E3D">
        <w:trPr>
          <w:jc w:val="center"/>
        </w:trPr>
        <w:tc>
          <w:tcPr>
            <w:tcW w:w="1493" w:type="dxa"/>
            <w:vAlign w:val="center"/>
          </w:tcPr>
          <w:p w14:paraId="7383A309">
            <w:pPr>
              <w:spacing w:line="276" w:lineRule="auto"/>
              <w:ind w:firstLine="0"/>
              <w:jc w:val="left"/>
            </w:pPr>
            <w:r>
              <w:rPr>
                <w:rFonts w:cs="Times New Roman"/>
                <w:sz w:val="19"/>
              </w:rPr>
              <w:t>Level C</w:t>
            </w:r>
          </w:p>
        </w:tc>
        <w:tc>
          <w:tcPr>
            <w:tcW w:w="1493" w:type="dxa"/>
            <w:vAlign w:val="center"/>
          </w:tcPr>
          <w:p w14:paraId="1C12927F">
            <w:pPr>
              <w:spacing w:line="276" w:lineRule="auto"/>
              <w:ind w:firstLine="0"/>
              <w:jc w:val="left"/>
            </w:pPr>
            <w:r>
              <w:rPr>
                <w:rFonts w:cs="Times New Roman"/>
                <w:sz w:val="19"/>
              </w:rPr>
              <w:t>Auxiliary</w:t>
            </w:r>
          </w:p>
        </w:tc>
        <w:tc>
          <w:tcPr>
            <w:tcW w:w="1493" w:type="dxa"/>
            <w:vAlign w:val="center"/>
          </w:tcPr>
          <w:p w14:paraId="0F8AE04A">
            <w:pPr>
              <w:spacing w:line="276" w:lineRule="auto"/>
              <w:ind w:firstLine="0"/>
              <w:jc w:val="left"/>
            </w:pPr>
            <w:r>
              <w:rPr>
                <w:rFonts w:cs="Times New Roman"/>
                <w:sz w:val="19"/>
              </w:rPr>
              <w:t>216</w:t>
            </w:r>
          </w:p>
        </w:tc>
        <w:tc>
          <w:tcPr>
            <w:tcW w:w="1493" w:type="dxa"/>
            <w:vAlign w:val="center"/>
          </w:tcPr>
          <w:p w14:paraId="5DCB3BAA">
            <w:pPr>
              <w:spacing w:line="276" w:lineRule="auto"/>
              <w:ind w:firstLine="0"/>
              <w:jc w:val="left"/>
            </w:pPr>
            <w:r>
              <w:rPr>
                <w:rFonts w:cs="Times New Roman"/>
                <w:sz w:val="19"/>
              </w:rPr>
              <w:t>13</w:t>
            </w:r>
          </w:p>
        </w:tc>
        <w:tc>
          <w:tcPr>
            <w:tcW w:w="1493" w:type="dxa"/>
            <w:vAlign w:val="center"/>
          </w:tcPr>
          <w:p w14:paraId="58BCDF38">
            <w:pPr>
              <w:spacing w:line="276" w:lineRule="auto"/>
              <w:ind w:firstLine="0"/>
              <w:jc w:val="left"/>
            </w:pPr>
            <w:r>
              <w:rPr>
                <w:rFonts w:cs="Times New Roman"/>
                <w:sz w:val="19"/>
              </w:rPr>
              <w:t>数信观察名单内部可用单元</w:t>
            </w:r>
          </w:p>
        </w:tc>
        <w:tc>
          <w:tcPr>
            <w:tcW w:w="1493" w:type="dxa"/>
            <w:vAlign w:val="center"/>
          </w:tcPr>
          <w:p w14:paraId="60CC47DA">
            <w:pPr>
              <w:spacing w:line="276" w:lineRule="auto"/>
              <w:ind w:firstLine="0"/>
              <w:jc w:val="left"/>
            </w:pPr>
            <w:r>
              <w:rPr>
                <w:rFonts w:cs="Times New Roman"/>
                <w:sz w:val="19"/>
              </w:rPr>
              <w:t>描述与局部what-if</w:t>
            </w:r>
          </w:p>
        </w:tc>
      </w:tr>
      <w:tr w14:paraId="78224EFD">
        <w:trPr>
          <w:jc w:val="center"/>
        </w:trPr>
        <w:tc>
          <w:tcPr>
            <w:tcW w:w="1493" w:type="dxa"/>
            <w:vAlign w:val="center"/>
          </w:tcPr>
          <w:p w14:paraId="05DF3E0D">
            <w:pPr>
              <w:spacing w:line="276" w:lineRule="auto"/>
              <w:ind w:firstLine="0"/>
              <w:jc w:val="left"/>
            </w:pPr>
            <w:r>
              <w:rPr>
                <w:rFonts w:cs="Times New Roman"/>
                <w:sz w:val="19"/>
              </w:rPr>
              <w:t>Level H</w:t>
            </w:r>
          </w:p>
        </w:tc>
        <w:tc>
          <w:tcPr>
            <w:tcW w:w="1493" w:type="dxa"/>
            <w:vAlign w:val="center"/>
          </w:tcPr>
          <w:p w14:paraId="605C1B90">
            <w:pPr>
              <w:spacing w:line="276" w:lineRule="auto"/>
              <w:ind w:firstLine="0"/>
              <w:jc w:val="left"/>
            </w:pPr>
            <w:r>
              <w:rPr>
                <w:rFonts w:cs="Times New Roman"/>
                <w:sz w:val="19"/>
              </w:rPr>
              <w:t>旧观察口径</w:t>
            </w:r>
          </w:p>
        </w:tc>
        <w:tc>
          <w:tcPr>
            <w:tcW w:w="1493" w:type="dxa"/>
            <w:vAlign w:val="center"/>
          </w:tcPr>
          <w:p w14:paraId="489A4EE9">
            <w:pPr>
              <w:spacing w:line="276" w:lineRule="auto"/>
              <w:ind w:firstLine="0"/>
              <w:jc w:val="left"/>
            </w:pPr>
            <w:r>
              <w:rPr>
                <w:rFonts w:cs="Times New Roman"/>
                <w:sz w:val="19"/>
              </w:rPr>
              <w:t>2908</w:t>
            </w:r>
          </w:p>
        </w:tc>
        <w:tc>
          <w:tcPr>
            <w:tcW w:w="1493" w:type="dxa"/>
            <w:vAlign w:val="center"/>
          </w:tcPr>
          <w:p w14:paraId="62D21430">
            <w:pPr>
              <w:spacing w:line="276" w:lineRule="auto"/>
              <w:ind w:firstLine="0"/>
              <w:jc w:val="left"/>
            </w:pPr>
            <w:r>
              <w:rPr>
                <w:rFonts w:cs="Times New Roman"/>
                <w:sz w:val="19"/>
              </w:rPr>
              <w:t>35</w:t>
            </w:r>
          </w:p>
        </w:tc>
        <w:tc>
          <w:tcPr>
            <w:tcW w:w="1493" w:type="dxa"/>
            <w:vAlign w:val="center"/>
          </w:tcPr>
          <w:p w14:paraId="305D6395">
            <w:pPr>
              <w:spacing w:line="276" w:lineRule="auto"/>
              <w:ind w:firstLine="0"/>
              <w:jc w:val="left"/>
            </w:pPr>
            <w:r>
              <w:rPr>
                <w:rFonts w:cs="Times New Roman"/>
                <w:sz w:val="19"/>
              </w:rPr>
              <w:t>审计前五学院混合口径</w:t>
            </w:r>
          </w:p>
        </w:tc>
        <w:tc>
          <w:tcPr>
            <w:tcW w:w="1493" w:type="dxa"/>
            <w:vAlign w:val="center"/>
          </w:tcPr>
          <w:p w14:paraId="09C2256C">
            <w:pPr>
              <w:spacing w:line="276" w:lineRule="auto"/>
              <w:ind w:firstLine="0"/>
              <w:jc w:val="left"/>
            </w:pPr>
            <w:r>
              <w:rPr>
                <w:rFonts w:cs="Times New Roman"/>
                <w:sz w:val="19"/>
              </w:rPr>
              <w:t>历史对照</w:t>
            </w:r>
          </w:p>
        </w:tc>
      </w:tr>
    </w:tbl>
    <w:p w14:paraId="573D26EF"/>
    <w:p w14:paraId="600B95BC">
      <w:r>
        <w:rPr>
          <w:rFonts w:cs="Times New Roman"/>
        </w:rPr>
        <w:t>Strict由化工550人、法学院757人和计算机1057人组成。Extended新增生科328人，生态专业46人因官方名次与总分次序冲突继续隔离。数信291条记录中，216人所在的13个单元在名单内部可以排序，另75人因缺号、重置或次序冲突隔离；文件未出现奖学金、公示或获奖标签，也缺少完整参评名册，因此其身份是“来源无法确认”，而不是已经证实的公示截断样本。三层样本在规模和解释范围上的差异如图1所示。</w:t>
      </w:r>
    </w:p>
    <w:p w14:paraId="377C3141">
      <w:pPr>
        <w:keepNext/>
        <w:ind w:firstLine="0"/>
        <w:jc w:val="center"/>
      </w:pPr>
      <w:r>
        <w:drawing>
          <wp:inline distT="0" distB="0" distL="0" distR="0">
            <wp:extent cx="5471795" cy="2157095"/>
            <wp:effectExtent l="0" t="0" r="0" b="0"/>
            <wp:docPr id="1" name="Picture 1" descr="样本证据层级及其规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样本证据层级及其规模"/>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5472000" cy="2157120"/>
                    </a:xfrm>
                    <a:prstGeom prst="rect">
                      <a:avLst/>
                    </a:prstGeom>
                  </pic:spPr>
                </pic:pic>
              </a:graphicData>
            </a:graphic>
          </wp:inline>
        </w:drawing>
      </w:r>
    </w:p>
    <w:p w14:paraId="327A49EE">
      <w:pPr>
        <w:pStyle w:val="15"/>
      </w:pPr>
      <w:r>
        <w:rPr>
          <w:rFonts w:cs="Times New Roman"/>
        </w:rPr>
        <w:t xml:space="preserve">图 </w:t>
      </w:r>
      <w:r>
        <w:rPr>
          <w:rFonts w:cs="Times New Roman"/>
        </w:rPr>
        <w:fldChar w:fldCharType="begin"/>
      </w:r>
      <w:r>
        <w:rPr>
          <w:rFonts w:cs="Times New Roman"/>
        </w:rPr>
        <w:instrText xml:space="preserve">SEQ Figure \* ARABIC</w:instrText>
      </w:r>
      <w:r>
        <w:rPr>
          <w:rFonts w:cs="Times New Roman"/>
        </w:rPr>
        <w:fldChar w:fldCharType="separate"/>
      </w:r>
      <w:r>
        <w:rPr>
          <w:rFonts w:cs="Times New Roman"/>
        </w:rPr>
        <w:t>1</w:t>
      </w:r>
      <w:r>
        <w:rPr>
          <w:rFonts w:cs="Times New Roman"/>
        </w:rPr>
        <w:fldChar w:fldCharType="end"/>
      </w:r>
      <w:r>
        <w:rPr>
          <w:rFonts w:cs="Times New Roman"/>
        </w:rPr>
        <w:t xml:space="preserve"> 样本证据层级及其规模</w:t>
      </w:r>
    </w:p>
    <w:p w14:paraId="1872F599">
      <w:r>
        <w:rPr>
          <w:rFonts w:cs="Times New Roman"/>
        </w:rPr>
        <w:t>图1把样本数量与证据等级放在同一视图中。Extended比Strict增加328人和5个单元，但新增部分代表生科有效单元而非完整生科学院；数信216人虽有内部名次，却不进入正式硬约束。后续所有“主结果”均指Strict，“敏感性结果”均指Extended。</w:t>
      </w:r>
    </w:p>
    <w:p w14:paraId="0D44A2A9">
      <w:pPr>
        <w:pStyle w:val="4"/>
      </w:pPr>
      <w:bookmarkStart w:id="9" w:name="_Toc240540891"/>
      <w:r>
        <w:rPr>
          <w:rFonts w:ascii="Times New Roman" w:hAnsi="Times New Roman" w:eastAsia="黑体" w:cs="Times New Roman"/>
        </w:rPr>
        <w:t>2.3 智育、德育与发展素质指标</w:t>
      </w:r>
      <w:bookmarkEnd w:id="9"/>
    </w:p>
    <w:p w14:paraId="1D20EA17">
      <w:r>
        <w:rPr>
          <w:rFonts w:cs="Times New Roman"/>
        </w:rPr>
        <w:t xml:space="preserve">本文统一记智育为 </w:t>
      </w:r>
      <m:oMath>
        <m:r>
          <m:rPr/>
          <w:rPr>
            <w:rFonts w:ascii="Cambria Math" w:hAnsi="Cambria Math"/>
          </w:rPr>
          <m:t>A</m:t>
        </m:r>
      </m:oMath>
      <w:r>
        <w:rPr>
          <w:rFonts w:cs="Times New Roman"/>
          <w:vanish/>
          <w:sz w:val="2"/>
        </w:rPr>
        <w:t>[AxMath LaTeX: A]</w:t>
      </w:r>
      <w:r>
        <w:rPr>
          <w:rFonts w:cs="Times New Roman"/>
        </w:rPr>
        <w:t xml:space="preserve">、德育为 </w:t>
      </w:r>
      <m:oMath>
        <m:r>
          <m:rPr/>
          <w:rPr>
            <w:rFonts w:ascii="Cambria Math" w:hAnsi="Cambria Math"/>
          </w:rPr>
          <m:t>D</m:t>
        </m:r>
      </m:oMath>
      <w:r>
        <w:rPr>
          <w:rFonts w:cs="Times New Roman"/>
          <w:vanish/>
          <w:sz w:val="2"/>
        </w:rPr>
        <w:t>[AxMath LaTeX: D]</w:t>
      </w:r>
      <w:r>
        <w:rPr>
          <w:rFonts w:cs="Times New Roman"/>
        </w:rPr>
        <w:t xml:space="preserve">、发展素质为 </w:t>
      </w:r>
      <m:oMath>
        <m:r>
          <m:rPr/>
          <w:rPr>
            <w:rFonts w:ascii="Cambria Math" w:hAnsi="Cambria Math"/>
          </w:rPr>
          <m:t>E</m:t>
        </m:r>
      </m:oMath>
      <w:r>
        <w:rPr>
          <w:rFonts w:cs="Times New Roman"/>
          <w:vanish/>
          <w:sz w:val="2"/>
        </w:rPr>
        <w:t>[AxMath LaTeX: E]</w:t>
      </w:r>
      <w:r>
        <w:rPr>
          <w:rFonts w:cs="Times New Roman"/>
        </w:rPr>
        <w:t>。三者是业务资料中的制度计分，不是对学业能力、品德或发展潜能的无误差测量。不同学院的项目构成和封顶规则可能不同，统一符号只建立共同计算语言。</w:t>
      </w:r>
    </w:p>
    <w:p w14:paraId="12C12CC8">
      <w:r>
        <w:rPr>
          <w:rFonts w:cs="Times New Roman"/>
        </w:rPr>
        <w:t>原表同时存在百分制分项和已经乘权的贡献分。对贡献分先除以对应权重，恢复百分制制度分，再进入统一评价函数，避免重复乘权。数信智育由综合成绩、德育贡献和发展素质贡献反算，其公式代回总分属于代数恒等，不构成独立测量验证，因此仅用于Level C内部分析。生科生工单元的7个发展素质模块按制度上限封顶后重构误差接近机器精度；该规则只适用于有明确模块证据的单元。</w:t>
      </w:r>
    </w:p>
    <w:p w14:paraId="17DF9F85">
      <w:pPr>
        <w:pStyle w:val="4"/>
      </w:pPr>
      <w:bookmarkStart w:id="10" w:name="_Toc240540892"/>
      <w:r>
        <w:rPr>
          <w:rFonts w:ascii="Times New Roman" w:hAnsi="Times New Roman" w:eastAsia="黑体" w:cs="Times New Roman"/>
        </w:rPr>
        <w:t>2.4 现行权重结构</w:t>
      </w:r>
      <w:bookmarkEnd w:id="10"/>
    </w:p>
    <w:p w14:paraId="78F760E5">
      <w:r>
        <w:rPr>
          <w:rFonts w:cs="Times New Roman"/>
        </w:rPr>
        <w:t xml:space="preserve">学生 </w:t>
      </w:r>
      <m:oMath>
        <m:r>
          <m:rPr/>
          <w:rPr>
            <w:rFonts w:ascii="Cambria Math" w:hAnsi="Cambria Math"/>
          </w:rPr>
          <m:t>i</m:t>
        </m:r>
      </m:oMath>
      <w:r>
        <w:rPr>
          <w:rFonts w:cs="Times New Roman"/>
          <w:vanish/>
          <w:sz w:val="2"/>
        </w:rPr>
        <w:t>[AxMath LaTeX: i]</w:t>
      </w:r>
      <w:r>
        <w:rPr>
          <w:rFonts w:cs="Times New Roman"/>
        </w:rPr>
        <w:t xml:space="preserve"> 的综合成绩记为：</w:t>
      </w:r>
    </w:p>
    <w:p w14:paraId="454D1825">
      <w:pPr>
        <w:pStyle w:val="167"/>
        <w:tabs>
          <w:tab w:val="center" w:pos="4479"/>
          <w:tab w:val="right" w:pos="8957"/>
        </w:tabs>
        <w:ind w:left="0" w:right="0"/>
        <w:jc w:val="left"/>
      </w:pPr>
      <w:r>
        <w:tab/>
      </w:r>
      <m:oMath>
        <m:sSub>
          <m:sSubPr/>
          <m:e>
            <m:r>
              <m:rPr/>
              <m:t>S</m:t>
            </m:r>
          </m:e>
          <m:sub>
            <m:r>
              <m:rPr/>
              <m:t>i</m:t>
            </m:r>
          </m:sub>
        </m:sSub>
        <m:r>
          <m:rPr/>
          <m:t>=</m:t>
        </m:r>
        <m:sSub>
          <m:sSubPr/>
          <m:e>
            <m:r>
              <m:rPr/>
              <m:t>w</m:t>
            </m:r>
          </m:e>
          <m:sub>
            <m:r>
              <m:rPr/>
              <m:t>A</m:t>
            </m:r>
          </m:sub>
        </m:sSub>
        <m:sSub>
          <m:sSubPr/>
          <m:e>
            <m:r>
              <m:rPr/>
              <m:t>A</m:t>
            </m:r>
          </m:e>
          <m:sub>
            <m:r>
              <m:rPr/>
              <m:t>i</m:t>
            </m:r>
          </m:sub>
        </m:sSub>
        <m:r>
          <m:rPr/>
          <m:t>+</m:t>
        </m:r>
        <m:sSub>
          <m:sSubPr/>
          <m:e>
            <m:r>
              <m:rPr/>
              <m:t>w</m:t>
            </m:r>
          </m:e>
          <m:sub>
            <m:r>
              <m:rPr/>
              <m:t>D</m:t>
            </m:r>
          </m:sub>
        </m:sSub>
        <m:sSub>
          <m:sSubPr/>
          <m:e>
            <m:r>
              <m:rPr/>
              <m:t>D</m:t>
            </m:r>
          </m:e>
          <m:sub>
            <m:r>
              <m:rPr/>
              <m:t>i</m:t>
            </m:r>
          </m:sub>
        </m:sSub>
        <m:r>
          <m:rPr/>
          <m:t>+</m:t>
        </m:r>
        <m:sSub>
          <m:sSubPr/>
          <m:e>
            <m:r>
              <m:rPr/>
              <m:t>w</m:t>
            </m:r>
          </m:e>
          <m:sub>
            <m:r>
              <m:rPr/>
              <m:t>E</m:t>
            </m:r>
          </m:sub>
        </m:sSub>
        <m:sSub>
          <m:sSubPr/>
          <m:e>
            <m:r>
              <m:rPr/>
              <m:t>E</m:t>
            </m:r>
          </m:e>
          <m:sub>
            <m:r>
              <m:rPr/>
              <m:t>i</m:t>
            </m:r>
          </m:sub>
        </m:sSub>
        <m:r>
          <m:rPr/>
          <m:t>,</m:t>
        </m:r>
        <m:sSub>
          <m:sSubPr/>
          <m:e>
            <m:r>
              <m:rPr/>
              <m:t>w</m:t>
            </m:r>
          </m:e>
          <m:sub>
            <m:r>
              <m:rPr/>
              <m:t>A</m:t>
            </m:r>
          </m:sub>
        </m:sSub>
        <m:r>
          <m:rPr/>
          <m:t>+</m:t>
        </m:r>
        <m:sSub>
          <m:sSubPr/>
          <m:e>
            <m:r>
              <m:rPr/>
              <m:t>w</m:t>
            </m:r>
          </m:e>
          <m:sub>
            <m:r>
              <m:rPr/>
              <m:t>D</m:t>
            </m:r>
          </m:sub>
        </m:sSub>
        <m:r>
          <m:rPr/>
          <m:t>+</m:t>
        </m:r>
        <m:sSub>
          <m:sSubPr/>
          <m:e>
            <m:r>
              <m:rPr/>
              <m:t>w</m:t>
            </m:r>
          </m:e>
          <m:sub>
            <m:r>
              <m:rPr/>
              <m:t>E</m:t>
            </m:r>
          </m:sub>
        </m:sSub>
        <m:r>
          <m:rPr/>
          <m:t>=1.</m:t>
        </m:r>
      </m:oMath>
      <w:r>
        <w:rPr>
          <w:rFonts w:ascii="Times New Roman" w:hAnsi="Times New Roman" w:cs="Times New Roman"/>
          <w:vanish/>
          <w:sz w:val="2"/>
        </w:rPr>
        <w:t>[AxMath LaTeX: S_i=w_AA_i+w_DD_i+w_EE_i,\qquad w_A+w_D+w_E=1.]</w:t>
      </w:r>
    </w:p>
    <w:p w14:paraId="1D5E1006">
      <w:r>
        <w:rPr>
          <w:rFonts w:cs="Times New Roman"/>
        </w:rPr>
        <w:t>为区分非智育总量与内部构成，令：</w:t>
      </w:r>
    </w:p>
    <w:p w14:paraId="3C997498">
      <w:pPr>
        <w:pStyle w:val="167"/>
        <w:tabs>
          <w:tab w:val="center" w:pos="4479"/>
          <w:tab w:val="right" w:pos="8957"/>
        </w:tabs>
        <w:ind w:left="0" w:right="0"/>
        <w:jc w:val="left"/>
      </w:pPr>
      <w:r>
        <w:tab/>
      </w:r>
      <m:oMath>
        <m:r>
          <m:rPr/>
          <m:t>α=</m:t>
        </m:r>
        <m:sSub>
          <m:sSubPr/>
          <m:e>
            <m:r>
              <m:rPr/>
              <m:t>w</m:t>
            </m:r>
          </m:e>
          <m:sub>
            <m:r>
              <m:rPr/>
              <m:t>D</m:t>
            </m:r>
          </m:sub>
        </m:sSub>
        <m:r>
          <m:rPr/>
          <m:t>+</m:t>
        </m:r>
        <m:sSub>
          <m:sSubPr/>
          <m:e>
            <m:r>
              <m:rPr/>
              <m:t>w</m:t>
            </m:r>
          </m:e>
          <m:sub>
            <m:r>
              <m:rPr/>
              <m:t>E</m:t>
            </m:r>
          </m:sub>
        </m:sSub>
        <m:r>
          <m:rPr/>
          <m:t>,β=</m:t>
        </m:r>
        <m:f>
          <m:fPr/>
          <m:num>
            <m:sSub>
              <m:sSubPr/>
              <m:e>
                <m:r>
                  <m:rPr/>
                  <m:t>w</m:t>
                </m:r>
              </m:e>
              <m:sub>
                <m:r>
                  <m:rPr/>
                  <m:t>D</m:t>
                </m:r>
              </m:sub>
            </m:sSub>
          </m:num>
          <m:den>
            <m:sSub>
              <m:sSubPr/>
              <m:e>
                <m:r>
                  <m:rPr/>
                  <m:t>w</m:t>
                </m:r>
              </m:e>
              <m:sub>
                <m:r>
                  <m:rPr/>
                  <m:t>D</m:t>
                </m:r>
              </m:sub>
            </m:sSub>
            <m:r>
              <m:rPr/>
              <m:t>+</m:t>
            </m:r>
            <m:sSub>
              <m:sSubPr/>
              <m:e>
                <m:r>
                  <m:rPr/>
                  <m:t>w</m:t>
                </m:r>
              </m:e>
              <m:sub>
                <m:r>
                  <m:rPr/>
                  <m:t>E</m:t>
                </m:r>
              </m:sub>
            </m:sSub>
          </m:den>
        </m:f>
        <m:r>
          <m:rPr/>
          <m:t>,</m:t>
        </m:r>
      </m:oMath>
      <w:r>
        <w:rPr>
          <w:rFonts w:ascii="Times New Roman" w:hAnsi="Times New Roman" w:cs="Times New Roman"/>
          <w:vanish/>
          <w:sz w:val="2"/>
        </w:rPr>
        <w:t>[AxMath LaTeX: \alpha=w_D+w_E,\qquad \beta=\frac{w_D}{w_D+w_E},]</w:t>
      </w:r>
    </w:p>
    <w:p w14:paraId="0F433C9C">
      <w:r>
        <w:rPr>
          <w:rFonts w:cs="Times New Roman"/>
        </w:rPr>
        <w:t xml:space="preserve">从而 </w:t>
      </w:r>
      <m:oMath>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A</m:t>
            </m:r>
            <m:ctrlPr>
              <w:rPr>
                <w:rFonts w:ascii="Cambria Math" w:hAnsi="Cambria Math"/>
              </w:rPr>
            </m:ctrlPr>
          </m:sub>
        </m:sSub>
        <m:r>
          <m:rPr/>
          <w:rPr>
            <w:rFonts w:ascii="Cambria Math" w:hAnsi="Cambria Math"/>
          </w:rPr>
          <m:t>=1−α</m:t>
        </m:r>
      </m:oMath>
      <w:r>
        <w:rPr>
          <w:rFonts w:cs="Times New Roman"/>
          <w:vanish/>
          <w:sz w:val="2"/>
        </w:rPr>
        <w:t>[AxMath LaTeX: w_A=1-\alpha]</w:t>
      </w:r>
      <w:r>
        <w:rPr>
          <w:rFonts w:cs="Times New Roman"/>
        </w:rPr>
        <w:t>、</w:t>
      </w:r>
      <m:oMath>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D</m:t>
            </m:r>
            <m:ctrlPr>
              <w:rPr>
                <w:rFonts w:ascii="Cambria Math" w:hAnsi="Cambria Math"/>
              </w:rPr>
            </m:ctrlPr>
          </m:sub>
        </m:sSub>
        <m:r>
          <m:rPr/>
          <w:rPr>
            <w:rFonts w:ascii="Cambria Math" w:hAnsi="Cambria Math"/>
          </w:rPr>
          <m:t>=αβ</m:t>
        </m:r>
      </m:oMath>
      <w:r>
        <w:rPr>
          <w:rFonts w:cs="Times New Roman"/>
          <w:vanish/>
          <w:sz w:val="2"/>
        </w:rPr>
        <w:t>[AxMath LaTeX: w_D=\alpha\beta]</w:t>
      </w:r>
      <w:r>
        <w:rPr>
          <w:rFonts w:cs="Times New Roman"/>
        </w:rPr>
        <w:t>、</w:t>
      </w:r>
      <m:oMath>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E</m:t>
            </m:r>
            <m:ctrlPr>
              <w:rPr>
                <w:rFonts w:ascii="Cambria Math" w:hAnsi="Cambria Math"/>
              </w:rPr>
            </m:ctrlPr>
          </m:sub>
        </m:sSub>
        <m:r>
          <m:rPr/>
          <w:rPr>
            <w:rFonts w:ascii="Cambria Math" w:hAnsi="Cambria Math"/>
          </w:rPr>
          <m:t>=α(1−β)</m:t>
        </m:r>
      </m:oMath>
      <w:r>
        <w:rPr>
          <w:rFonts w:cs="Times New Roman"/>
          <w:vanish/>
          <w:sz w:val="2"/>
        </w:rPr>
        <w:t>[AxMath LaTeX: w_E=\alpha(1-\beta)]</w:t>
      </w:r>
      <w:r>
        <w:rPr>
          <w:rFonts w:cs="Times New Roman"/>
        </w:rPr>
        <w:t xml:space="preserve">。当 </w:t>
      </w:r>
      <m:oMath>
        <m:r>
          <m:rPr/>
          <w:rPr>
            <w:rFonts w:ascii="Cambria Math" w:hAnsi="Cambria Math"/>
          </w:rPr>
          <m:t>α=0</m:t>
        </m:r>
      </m:oMath>
      <w:r>
        <w:rPr>
          <w:rFonts w:cs="Times New Roman"/>
          <w:vanish/>
          <w:sz w:val="2"/>
        </w:rPr>
        <w:t>[AxMath LaTeX: \alpha=0]</w:t>
      </w:r>
      <w:r>
        <w:rPr>
          <w:rFonts w:cs="Times New Roman"/>
        </w:rPr>
        <w:t xml:space="preserve"> 时，</w:t>
      </w:r>
      <m:oMath>
        <m:r>
          <m:rPr/>
          <w:rPr>
            <w:rFonts w:ascii="Cambria Math" w:hAnsi="Cambria Math"/>
          </w:rPr>
          <m:t>β</m:t>
        </m:r>
      </m:oMath>
      <w:r>
        <w:rPr>
          <w:rFonts w:cs="Times New Roman"/>
          <w:vanish/>
          <w:sz w:val="2"/>
        </w:rPr>
        <w:t>[AxMath LaTeX: \beta]</w:t>
      </w:r>
      <w:r>
        <w:rPr>
          <w:rFonts w:cs="Times New Roman"/>
        </w:rPr>
        <w:t xml:space="preserve"> 不影响得分。75/10/15结构对应 </w:t>
      </w:r>
      <m:oMath>
        <m:r>
          <m:rPr/>
          <w:rPr>
            <w:rFonts w:ascii="Cambria Math" w:hAnsi="Cambria Math"/>
          </w:rPr>
          <m:t>α=0.25</m:t>
        </m:r>
      </m:oMath>
      <w:r>
        <w:rPr>
          <w:rFonts w:cs="Times New Roman"/>
          <w:vanish/>
          <w:sz w:val="2"/>
        </w:rPr>
        <w:t>[AxMath LaTeX: \alpha=0.25]</w:t>
      </w:r>
      <w:r>
        <w:rPr>
          <w:rFonts w:cs="Times New Roman"/>
        </w:rPr>
        <w:t>、</w:t>
      </w:r>
      <m:oMath>
        <m:r>
          <m:rPr/>
          <w:rPr>
            <w:rFonts w:ascii="Cambria Math" w:hAnsi="Cambria Math"/>
          </w:rPr>
          <m:t>β=0.40</m:t>
        </m:r>
      </m:oMath>
      <w:r>
        <w:rPr>
          <w:rFonts w:cs="Times New Roman"/>
          <w:vanish/>
          <w:sz w:val="2"/>
        </w:rPr>
        <w:t>[AxMath LaTeX: \beta=0.40]</w:t>
      </w:r>
      <w:r>
        <w:rPr>
          <w:rFonts w:cs="Times New Roman"/>
        </w:rPr>
        <w:t xml:space="preserve">；70/10/20结构对应 </w:t>
      </w:r>
      <m:oMath>
        <m:r>
          <m:rPr/>
          <w:rPr>
            <w:rFonts w:ascii="Cambria Math" w:hAnsi="Cambria Math"/>
          </w:rPr>
          <m:t>α=0.30</m:t>
        </m:r>
      </m:oMath>
      <w:r>
        <w:rPr>
          <w:rFonts w:cs="Times New Roman"/>
          <w:vanish/>
          <w:sz w:val="2"/>
        </w:rPr>
        <w:t>[AxMath LaTeX: \alpha=0.30]</w:t>
      </w:r>
      <w:r>
        <w:rPr>
          <w:rFonts w:cs="Times New Roman"/>
        </w:rPr>
        <w:t>、</w:t>
      </w:r>
      <m:oMath>
        <m:r>
          <m:rPr/>
          <w:rPr>
            <w:rFonts w:ascii="Cambria Math" w:hAnsi="Cambria Math"/>
          </w:rPr>
          <m:t>β=1/3</m:t>
        </m:r>
      </m:oMath>
      <w:r>
        <w:rPr>
          <w:rFonts w:cs="Times New Roman"/>
          <w:vanish/>
          <w:sz w:val="2"/>
        </w:rPr>
        <w:t>[AxMath LaTeX: \beta=1/3]</w:t>
      </w:r>
      <w:r>
        <w:rPr>
          <w:rFonts w:cs="Times New Roman"/>
        </w:rPr>
        <w:t>。该参数化是对组合权重的代数重写，用于分离总量效应与结构效应，不构成新优化算法。</w:t>
      </w:r>
    </w:p>
    <w:p w14:paraId="2371C0E2">
      <w:pPr>
        <w:pStyle w:val="4"/>
      </w:pPr>
      <w:bookmarkStart w:id="11" w:name="_Toc240540893"/>
      <w:r>
        <w:rPr>
          <w:rFonts w:ascii="Times New Roman" w:hAnsi="Times New Roman" w:eastAsia="黑体" w:cs="Times New Roman"/>
        </w:rPr>
        <w:t>2.5 数据清洗与质量控制</w:t>
      </w:r>
      <w:bookmarkEnd w:id="11"/>
    </w:p>
    <w:p w14:paraId="5E01553F">
      <w:r>
        <w:rPr>
          <w:rFonts w:cs="Times New Roman"/>
        </w:rPr>
        <w:t>数据处理保留来源文件、sheet、原始行号和匿名学生标识。质量控制依次检查字段类型、制度分与贡献分、综合成绩重构、官方名次范围、排序单元边界、重复学生、缺失值和权重和。学生对和Top-q集合只在真实排序单元内形成，严禁跨学院、跨专业或跨年级拼接。分母为空时记为NA，不以0代替。</w:t>
      </w:r>
    </w:p>
    <w:p w14:paraId="74304619">
      <w:r>
        <w:rPr>
          <w:rFonts w:cs="Times New Roman"/>
        </w:rPr>
        <w:t>合法样本重算还设置了污染检测：Strict和Extended硬约束中数信出现次数均为0，Extended中生态隔离单元参与次数为0；审计前结果文件的哈希在重算前后完全一致。关键结果通过独立路线比较12,064项，失败0项，Excel错误单元格为0。这些检查支持实现一致性和样本边界的可追溯性，不替代对制度阈值本身的规范论证。</w:t>
      </w:r>
    </w:p>
    <w:p w14:paraId="7AFE22B7">
      <w:pPr>
        <w:pStyle w:val="3"/>
      </w:pPr>
      <w:bookmarkStart w:id="12" w:name="_Toc240540894"/>
      <w:r>
        <w:rPr>
          <w:rFonts w:ascii="Times New Roman" w:hAnsi="Times New Roman" w:eastAsia="黑体" w:cs="Times New Roman"/>
        </w:rPr>
        <w:t>3 数学建模框架与评价指标</w:t>
      </w:r>
      <w:bookmarkEnd w:id="12"/>
    </w:p>
    <w:p w14:paraId="0286CD95">
      <w:pPr>
        <w:pStyle w:val="4"/>
      </w:pPr>
      <w:bookmarkStart w:id="13" w:name="_Toc240540895"/>
      <w:r>
        <w:rPr>
          <w:rFonts w:ascii="Times New Roman" w:hAnsi="Times New Roman" w:eastAsia="黑体" w:cs="Times New Roman"/>
        </w:rPr>
        <w:t>3.1 综合评价得分函数与权重参数化</w:t>
      </w:r>
      <w:bookmarkEnd w:id="13"/>
    </w:p>
    <w:p w14:paraId="08896D6D">
      <w:r>
        <w:rPr>
          <w:rFonts w:cs="Times New Roman"/>
        </w:rPr>
        <w:t xml:space="preserve">综合评价的直接研究对象是权重变化引起的分数和次序变化。对任一候选权重 </w:t>
      </w:r>
      <m:oMath>
        <m:r>
          <m:rPr>
            <m:sty m:val="bi"/>
          </m:rPr>
          <w:rPr>
            <w:rFonts w:ascii="Cambria Math" w:hAnsi="Cambria Math"/>
          </w:rPr>
          <m:t>w</m:t>
        </m:r>
        <m:r>
          <m:rPr/>
          <w:rPr>
            <w:rFonts w:ascii="Cambria Math" w:hAnsi="Cambria Math"/>
          </w:rPr>
          <m:t>=(</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A</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D</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E</m:t>
            </m:r>
            <m:ctrlPr>
              <w:rPr>
                <w:rFonts w:ascii="Cambria Math" w:hAnsi="Cambria Math"/>
              </w:rPr>
            </m:ctrlPr>
          </m:sub>
        </m:sSub>
        <m:r>
          <m:rPr/>
          <w:rPr>
            <w:rFonts w:ascii="Cambria Math" w:hAnsi="Cambria Math"/>
          </w:rPr>
          <m:t>)</m:t>
        </m:r>
      </m:oMath>
      <w:r>
        <w:rPr>
          <w:rFonts w:cs="Times New Roman"/>
          <w:vanish/>
          <w:sz w:val="2"/>
        </w:rPr>
        <w:t>[AxMath LaTeX: \boldsymbol{w}=(w_A,w_D,w_E)]</w:t>
      </w:r>
      <w:r>
        <w:rPr>
          <w:rFonts w:cs="Times New Roman"/>
        </w:rPr>
        <w:t>，学生得分记为：</w:t>
      </w:r>
    </w:p>
    <w:p w14:paraId="43DB2794">
      <w:pPr>
        <w:pStyle w:val="167"/>
        <w:tabs>
          <w:tab w:val="center" w:pos="4479"/>
          <w:tab w:val="right" w:pos="8957"/>
        </w:tabs>
        <w:ind w:left="0" w:right="0"/>
        <w:jc w:val="left"/>
      </w:pPr>
      <w:r>
        <w:tab/>
      </w:r>
      <m:oMath>
        <m:sSub>
          <m:sSubPr/>
          <m:e>
            <m:r>
              <m:rPr/>
              <m:t>S</m:t>
            </m:r>
          </m:e>
          <m:sub>
            <m:r>
              <m:rPr/>
              <m:t>i</m:t>
            </m:r>
          </m:sub>
        </m:sSub>
        <m:r>
          <m:rPr/>
          <m:t>(</m:t>
        </m:r>
        <m:r>
          <m:rPr>
            <m:sty m:val="bi"/>
          </m:rPr>
          <m:t>w</m:t>
        </m:r>
        <m:r>
          <m:rPr/>
          <m:t>)=</m:t>
        </m:r>
        <m:sSub>
          <m:sSubPr/>
          <m:e>
            <m:r>
              <m:rPr/>
              <m:t>w</m:t>
            </m:r>
          </m:e>
          <m:sub>
            <m:r>
              <m:rPr/>
              <m:t>A</m:t>
            </m:r>
          </m:sub>
        </m:sSub>
        <m:sSub>
          <m:sSubPr/>
          <m:e>
            <m:r>
              <m:rPr/>
              <m:t>A</m:t>
            </m:r>
          </m:e>
          <m:sub>
            <m:r>
              <m:rPr/>
              <m:t>i</m:t>
            </m:r>
          </m:sub>
        </m:sSub>
        <m:r>
          <m:rPr/>
          <m:t>+</m:t>
        </m:r>
        <m:sSub>
          <m:sSubPr/>
          <m:e>
            <m:r>
              <m:rPr/>
              <m:t>w</m:t>
            </m:r>
          </m:e>
          <m:sub>
            <m:r>
              <m:rPr/>
              <m:t>D</m:t>
            </m:r>
          </m:sub>
        </m:sSub>
        <m:sSub>
          <m:sSubPr/>
          <m:e>
            <m:r>
              <m:rPr/>
              <m:t>D</m:t>
            </m:r>
          </m:e>
          <m:sub>
            <m:r>
              <m:rPr/>
              <m:t>i</m:t>
            </m:r>
          </m:sub>
        </m:sSub>
        <m:r>
          <m:rPr/>
          <m:t>+</m:t>
        </m:r>
        <m:sSub>
          <m:sSubPr/>
          <m:e>
            <m:r>
              <m:rPr/>
              <m:t>w</m:t>
            </m:r>
          </m:e>
          <m:sub>
            <m:r>
              <m:rPr/>
              <m:t>E</m:t>
            </m:r>
          </m:sub>
        </m:sSub>
        <m:sSub>
          <m:sSubPr/>
          <m:e>
            <m:r>
              <m:rPr/>
              <m:t>E</m:t>
            </m:r>
          </m:e>
          <m:sub>
            <m:r>
              <m:rPr/>
              <m:t>i</m:t>
            </m:r>
          </m:sub>
        </m:sSub>
      </m:oMath>
      <w:r>
        <w:rPr>
          <w:rFonts w:ascii="Times New Roman" w:hAnsi="Times New Roman" w:cs="Times New Roman"/>
        </w:rPr>
        <w:tab/>
      </w:r>
      <w:r>
        <w:rPr>
          <w:rFonts w:ascii="Times New Roman" w:hAnsi="Times New Roman" w:cs="Times New Roman"/>
        </w:rPr>
        <w:t>(3-1)</w:t>
      </w:r>
      <w:r>
        <w:rPr>
          <w:rFonts w:ascii="Times New Roman" w:hAnsi="Times New Roman" w:cs="Times New Roman"/>
          <w:vanish/>
          <w:sz w:val="2"/>
        </w:rPr>
        <w:t>[AxMath LaTeX: S_i(\boldsymbol{w})=w_AA_i+w_DD_i+w_EE_i \tag{3-1}]</w:t>
      </w:r>
    </w:p>
    <w:p w14:paraId="712BBB43">
      <w:r>
        <w:rPr>
          <w:rFonts w:cs="Times New Roman"/>
        </w:rPr>
        <w:t>约束为：</w:t>
      </w:r>
    </w:p>
    <w:p w14:paraId="35BBDBB9">
      <w:pPr>
        <w:pStyle w:val="167"/>
        <w:tabs>
          <w:tab w:val="center" w:pos="4479"/>
          <w:tab w:val="right" w:pos="8957"/>
        </w:tabs>
        <w:ind w:left="0" w:right="0"/>
        <w:jc w:val="left"/>
      </w:pPr>
      <w:r>
        <w:tab/>
      </w:r>
      <m:oMath>
        <m:sSub>
          <m:sSubPr/>
          <m:e>
            <m:r>
              <m:rPr/>
              <m:t>w</m:t>
            </m:r>
          </m:e>
          <m:sub>
            <m:r>
              <m:rPr/>
              <m:t>A</m:t>
            </m:r>
          </m:sub>
        </m:sSub>
        <m:r>
          <m:rPr/>
          <m:t>+</m:t>
        </m:r>
        <m:sSub>
          <m:sSubPr/>
          <m:e>
            <m:r>
              <m:rPr/>
              <m:t>w</m:t>
            </m:r>
          </m:e>
          <m:sub>
            <m:r>
              <m:rPr/>
              <m:t>D</m:t>
            </m:r>
          </m:sub>
        </m:sSub>
        <m:r>
          <m:rPr/>
          <m:t>+</m:t>
        </m:r>
        <m:sSub>
          <m:sSubPr/>
          <m:e>
            <m:r>
              <m:rPr/>
              <m:t>w</m:t>
            </m:r>
          </m:e>
          <m:sub>
            <m:r>
              <m:rPr/>
              <m:t>E</m:t>
            </m:r>
          </m:sub>
        </m:sSub>
        <m:r>
          <m:rPr/>
          <m:t>=1,</m:t>
        </m:r>
        <m:sSub>
          <m:sSubPr/>
          <m:e>
            <m:r>
              <m:rPr/>
              <m:t>w</m:t>
            </m:r>
          </m:e>
          <m:sub>
            <m:r>
              <m:rPr/>
              <m:t>A</m:t>
            </m:r>
          </m:sub>
        </m:sSub>
        <m:r>
          <m:rPr/>
          <m:t>,</m:t>
        </m:r>
        <m:sSub>
          <m:sSubPr/>
          <m:e>
            <m:r>
              <m:rPr/>
              <m:t>w</m:t>
            </m:r>
          </m:e>
          <m:sub>
            <m:r>
              <m:rPr/>
              <m:t>D</m:t>
            </m:r>
          </m:sub>
        </m:sSub>
        <m:r>
          <m:rPr/>
          <m:t>,</m:t>
        </m:r>
        <m:sSub>
          <m:sSubPr/>
          <m:e>
            <m:r>
              <m:rPr/>
              <m:t>w</m:t>
            </m:r>
          </m:e>
          <m:sub>
            <m:r>
              <m:rPr/>
              <m:t>E</m:t>
            </m:r>
          </m:sub>
        </m:sSub>
        <m:r>
          <m:rPr/>
          <m:t>≥0</m:t>
        </m:r>
      </m:oMath>
      <w:r>
        <w:rPr>
          <w:rFonts w:ascii="Times New Roman" w:hAnsi="Times New Roman" w:cs="Times New Roman"/>
        </w:rPr>
        <w:tab/>
      </w:r>
      <w:r>
        <w:rPr>
          <w:rFonts w:ascii="Times New Roman" w:hAnsi="Times New Roman" w:cs="Times New Roman"/>
        </w:rPr>
        <w:t>(3-2)</w:t>
      </w:r>
      <w:r>
        <w:rPr>
          <w:rFonts w:ascii="Times New Roman" w:hAnsi="Times New Roman" w:cs="Times New Roman"/>
          <w:vanish/>
          <w:sz w:val="2"/>
        </w:rPr>
        <w:t>[AxMath LaTeX: w_A+w_D+w_E=1,\qquad w_A,w_D,w_E\geq 0 \tag{3-2}]</w:t>
      </w:r>
    </w:p>
    <w:p w14:paraId="679E93CE">
      <w:r>
        <w:rPr>
          <w:rFonts w:cs="Times New Roman"/>
        </w:rPr>
        <w:t xml:space="preserve">采用 </w:t>
      </w:r>
      <m:oMath>
        <m:d>
          <m:dPr>
            <m:sepChr m:val=","/>
            <m:ctrlPr>
              <w:rPr>
                <w:rFonts w:ascii="Cambria Math" w:hAnsi="Cambria Math"/>
              </w:rPr>
            </m:ctrlPr>
          </m:dPr>
          <m:e>
            <m:r>
              <m:rPr/>
              <w:rPr>
                <w:rFonts w:ascii="Cambria Math" w:hAnsi="Cambria Math"/>
              </w:rPr>
              <m:t>α</m:t>
            </m:r>
            <m:ctrlPr>
              <w:rPr>
                <w:rFonts w:ascii="Cambria Math" w:hAnsi="Cambria Math"/>
              </w:rPr>
            </m:ctrlPr>
          </m:e>
          <m:e>
            <m:r>
              <m:rPr/>
              <w:rPr>
                <w:rFonts w:ascii="Cambria Math" w:hAnsi="Cambria Math"/>
              </w:rPr>
              <m:t>β</m:t>
            </m:r>
            <m:ctrlPr>
              <w:rPr>
                <w:rFonts w:ascii="Cambria Math" w:hAnsi="Cambria Math"/>
              </w:rPr>
            </m:ctrlPr>
          </m:e>
        </m:d>
      </m:oMath>
      <w:r>
        <w:rPr>
          <w:rFonts w:cs="Times New Roman"/>
          <w:vanish/>
          <w:sz w:val="2"/>
        </w:rPr>
        <w:t>[AxMath LaTeX: (\alpha,\beta)]</w:t>
      </w:r>
      <w:r>
        <w:rPr>
          <w:rFonts w:cs="Times New Roman"/>
        </w:rPr>
        <w:t xml:space="preserve"> 参数化后，式（3-1）可写为：</w:t>
      </w:r>
    </w:p>
    <w:p w14:paraId="03DE07BD">
      <w:pPr>
        <w:pStyle w:val="167"/>
        <w:tabs>
          <w:tab w:val="center" w:pos="4479"/>
          <w:tab w:val="right" w:pos="8957"/>
        </w:tabs>
        <w:ind w:left="0" w:right="0"/>
        <w:jc w:val="left"/>
      </w:pPr>
      <w:r>
        <w:tab/>
      </w:r>
      <m:oMath>
        <m:sSub>
          <m:sSubPr/>
          <m:e>
            <m:r>
              <m:rPr/>
              <m:t>S</m:t>
            </m:r>
          </m:e>
          <m:sub>
            <m:r>
              <m:rPr/>
              <m:t>i</m:t>
            </m:r>
          </m:sub>
        </m:sSub>
        <m:r>
          <m:rPr/>
          <m:t>(α,β)=(1−α)</m:t>
        </m:r>
        <m:sSub>
          <m:sSubPr/>
          <m:e>
            <m:r>
              <m:rPr/>
              <m:t>A</m:t>
            </m:r>
          </m:e>
          <m:sub>
            <m:r>
              <m:rPr/>
              <m:t>i</m:t>
            </m:r>
          </m:sub>
        </m:sSub>
        <m:r>
          <m:rPr/>
          <m:t>+αβ</m:t>
        </m:r>
        <m:sSub>
          <m:sSubPr/>
          <m:e>
            <m:r>
              <m:rPr/>
              <m:t>D</m:t>
            </m:r>
          </m:e>
          <m:sub>
            <m:r>
              <m:rPr/>
              <m:t>i</m:t>
            </m:r>
          </m:sub>
        </m:sSub>
        <m:r>
          <m:rPr/>
          <m:t>+α(1−β)</m:t>
        </m:r>
        <m:sSub>
          <m:sSubPr/>
          <m:e>
            <m:r>
              <m:rPr/>
              <m:t>E</m:t>
            </m:r>
          </m:e>
          <m:sub>
            <m:r>
              <m:rPr/>
              <m:t>i</m:t>
            </m:r>
          </m:sub>
        </m:sSub>
      </m:oMath>
      <w:r>
        <w:rPr>
          <w:rFonts w:ascii="Times New Roman" w:hAnsi="Times New Roman" w:cs="Times New Roman"/>
        </w:rPr>
        <w:tab/>
      </w:r>
      <w:r>
        <w:rPr>
          <w:rFonts w:ascii="Times New Roman" w:hAnsi="Times New Roman" w:cs="Times New Roman"/>
        </w:rPr>
        <w:t>(3-3)</w:t>
      </w:r>
      <w:r>
        <w:rPr>
          <w:rFonts w:ascii="Times New Roman" w:hAnsi="Times New Roman" w:cs="Times New Roman"/>
          <w:vanish/>
          <w:sz w:val="2"/>
        </w:rPr>
        <w:t>[AxMath LaTeX: S_i(\alpha,\beta)=(1-\alpha)A_i+\alpha\beta D_i+\alpha(1-\beta)E_i \tag{3-3}]</w:t>
      </w:r>
    </w:p>
    <w:p w14:paraId="78278785">
      <w:r>
        <w:rPr>
          <w:rFonts w:cs="Times New Roman"/>
        </w:rPr>
        <w:t>这一表达式把非智育总排序权重与其内部配置分离，便于识别“总量变化”和“结构变化”分别对应的排序响应。模型保持学生既有三项成绩不变，只替换计分规则，因而属于固定成绩反事实，不预测规则改变后的学习或活动行为。</w:t>
      </w:r>
    </w:p>
    <w:p w14:paraId="1F86E9F0">
      <w:pPr>
        <w:pStyle w:val="4"/>
      </w:pPr>
      <w:bookmarkStart w:id="14" w:name="_Toc240540896"/>
      <w:r>
        <w:rPr>
          <w:rFonts w:ascii="Times New Roman" w:hAnsi="Times New Roman" w:eastAsia="黑体" w:cs="Times New Roman"/>
        </w:rPr>
        <w:t>3.2 排名位移与排序一致性</w:t>
      </w:r>
      <w:bookmarkEnd w:id="14"/>
    </w:p>
    <w:p w14:paraId="15C94FF7">
      <w:r>
        <w:rPr>
          <w:rFonts w:cs="Times New Roman"/>
        </w:rPr>
        <w:t xml:space="preserve">相关系数可以概括两套排序的整体单调关系，但不能直接说明一名学生移动了多少，也不能反映头部名单更换。为此，设 </w:t>
      </w:r>
      <m:oMath>
        <m:sSubSup>
          <m:sSubSupPr>
            <m:ctrlPr>
              <w:rPr>
                <w:rFonts w:ascii="Cambria Math" w:hAnsi="Cambria Math"/>
              </w:rPr>
            </m:ctrlPr>
          </m:sSubSupPr>
          <m:e>
            <m:r>
              <m:rPr/>
              <w:rPr>
                <w:rFonts w:ascii="Cambria Math" w:hAnsi="Cambria Math"/>
              </w:rPr>
              <m:t>r</m:t>
            </m:r>
            <m:ctrlPr>
              <w:rPr>
                <w:rFonts w:ascii="Cambria Math" w:hAnsi="Cambria Math"/>
              </w:rPr>
            </m:ctrlPr>
          </m:e>
          <m:sub>
            <m:r>
              <m:rPr/>
              <w:rPr>
                <w:rFonts w:ascii="Cambria Math" w:hAnsi="Cambria Math"/>
              </w:rPr>
              <m:t>ig</m:t>
            </m:r>
            <m:ctrlPr>
              <w:rPr>
                <w:rFonts w:ascii="Cambria Math" w:hAnsi="Cambria Math"/>
              </w:rPr>
            </m:ctrlPr>
          </m:sub>
          <m:sup>
            <m:r>
              <m:rPr/>
              <w:rPr>
                <w:rFonts w:ascii="Cambria Math" w:hAnsi="Cambria Math"/>
              </w:rPr>
              <m:t>A</m:t>
            </m:r>
            <m:ctrlPr>
              <w:rPr>
                <w:rFonts w:ascii="Cambria Math" w:hAnsi="Cambria Math"/>
              </w:rPr>
            </m:ctrlPr>
          </m:sup>
        </m:sSubSup>
      </m:oMath>
      <w:r>
        <w:rPr>
          <w:rFonts w:cs="Times New Roman"/>
          <w:vanish/>
          <w:sz w:val="2"/>
        </w:rPr>
        <w:t>[AxMath LaTeX: r_{ig}^{A}]</w:t>
      </w:r>
      <w:r>
        <w:rPr>
          <w:rFonts w:cs="Times New Roman"/>
        </w:rPr>
        <w:t xml:space="preserve"> 和 </w:t>
      </w:r>
      <m:oMath>
        <m:sSubSup>
          <m:sSubSupPr>
            <m:ctrlPr>
              <w:rPr>
                <w:rFonts w:ascii="Cambria Math" w:hAnsi="Cambria Math"/>
              </w:rPr>
            </m:ctrlPr>
          </m:sSubSupPr>
          <m:e>
            <m:r>
              <m:rPr/>
              <w:rPr>
                <w:rFonts w:ascii="Cambria Math" w:hAnsi="Cambria Math"/>
              </w:rPr>
              <m:t>r</m:t>
            </m:r>
            <m:ctrlPr>
              <w:rPr>
                <w:rFonts w:ascii="Cambria Math" w:hAnsi="Cambria Math"/>
              </w:rPr>
            </m:ctrlPr>
          </m:e>
          <m:sub>
            <m:r>
              <m:rPr/>
              <w:rPr>
                <w:rFonts w:ascii="Cambria Math" w:hAnsi="Cambria Math"/>
              </w:rPr>
              <m:t>ig</m:t>
            </m:r>
            <m:ctrlPr>
              <w:rPr>
                <w:rFonts w:ascii="Cambria Math" w:hAnsi="Cambria Math"/>
              </w:rPr>
            </m:ctrlPr>
          </m:sub>
          <m:sup>
            <m:r>
              <m:rPr/>
              <w:rPr>
                <w:rFonts w:ascii="Cambria Math" w:hAnsi="Cambria Math"/>
              </w:rPr>
              <m:t>S</m:t>
            </m:r>
            <m:ctrlPr>
              <w:rPr>
                <w:rFonts w:ascii="Cambria Math" w:hAnsi="Cambria Math"/>
              </w:rPr>
            </m:ctrlPr>
          </m:sup>
        </m:sSubSup>
      </m:oMath>
      <w:r>
        <w:rPr>
          <w:rFonts w:cs="Times New Roman"/>
          <w:vanish/>
          <w:sz w:val="2"/>
        </w:rPr>
        <w:t>[AxMath LaTeX: r_{ig}^{S}]</w:t>
      </w:r>
      <w:r>
        <w:rPr>
          <w:rFonts w:cs="Times New Roman"/>
        </w:rPr>
        <w:t xml:space="preserve"> 分别为学生 </w:t>
      </w:r>
      <m:oMath>
        <m:r>
          <m:rPr/>
          <w:rPr>
            <w:rFonts w:ascii="Cambria Math" w:hAnsi="Cambria Math"/>
          </w:rPr>
          <m:t>i</m:t>
        </m:r>
      </m:oMath>
      <w:r>
        <w:rPr>
          <w:rFonts w:cs="Times New Roman"/>
          <w:vanish/>
          <w:sz w:val="2"/>
        </w:rPr>
        <w:t>[AxMath LaTeX: i]</w:t>
      </w:r>
      <w:r>
        <w:rPr>
          <w:rFonts w:cs="Times New Roman"/>
        </w:rPr>
        <w:t xml:space="preserve"> 在排序单元 </w:t>
      </w:r>
      <m:oMath>
        <m:r>
          <m:rPr/>
          <w:rPr>
            <w:rFonts w:ascii="Cambria Math" w:hAnsi="Cambria Math"/>
          </w:rPr>
          <m:t>g</m:t>
        </m:r>
      </m:oMath>
      <w:r>
        <w:rPr>
          <w:rFonts w:cs="Times New Roman"/>
          <w:vanish/>
          <w:sz w:val="2"/>
        </w:rPr>
        <w:t>[AxMath LaTeX: g]</w:t>
      </w:r>
      <w:r>
        <w:rPr>
          <w:rFonts w:cs="Times New Roman"/>
        </w:rPr>
        <w:t xml:space="preserve"> 内的智育平均秩与综合成绩平均秩，定义标准化绝对位移：</w:t>
      </w:r>
    </w:p>
    <w:p w14:paraId="0373043C">
      <w:pPr>
        <w:pStyle w:val="167"/>
        <w:tabs>
          <w:tab w:val="center" w:pos="4479"/>
          <w:tab w:val="right" w:pos="8957"/>
        </w:tabs>
        <w:ind w:left="0" w:right="0"/>
        <w:jc w:val="left"/>
      </w:pPr>
      <w:r>
        <w:tab/>
      </w:r>
      <m:oMath>
        <m:sSub>
          <m:sSubPr/>
          <m:e>
            <m:r>
              <m:rPr/>
              <m:t>M</m:t>
            </m:r>
          </m:e>
          <m:sub>
            <m:r>
              <m:rPr/>
              <m:t>g</m:t>
            </m:r>
          </m:sub>
        </m:sSub>
        <m:r>
          <m:rPr/>
          <m:t>=</m:t>
        </m:r>
        <m:f>
          <m:fPr/>
          <m:num>
            <m:r>
              <m:rPr/>
              <m:t>1</m:t>
            </m:r>
          </m:num>
          <m:den>
            <m:sSub>
              <m:sSubPr/>
              <m:e>
                <m:r>
                  <m:rPr/>
                  <m:t>n</m:t>
                </m:r>
              </m:e>
              <m:sub>
                <m:r>
                  <m:rPr/>
                  <m:t>g</m:t>
                </m:r>
              </m:sub>
            </m:sSub>
          </m:den>
        </m:f>
        <m:nary>
          <m:naryPr>
            <m:chr m:val="∑"/>
            <m:grow m:val="1"/>
            <m:limLoc m:val="subSup"/>
            <m:supHide m:val="1"/>
          </m:naryPr>
          <m:sub>
            <m:r>
              <m:rPr/>
              <m:t>i∈g</m:t>
            </m:r>
          </m:sub>
          <m:sup/>
          <m:e>
            <m:f>
              <m:fPr/>
              <m:num>
                <m:d>
                  <m:dPr>
                    <m:begChr m:val="|"/>
                    <m:sepChr m:val="−"/>
                    <m:endChr m:val="|"/>
                  </m:dPr>
                  <m:e>
                    <m:sSubSup>
                      <m:sSubSupPr/>
                      <m:e>
                        <m:r>
                          <m:rPr/>
                          <m:t>r</m:t>
                        </m:r>
                      </m:e>
                      <m:sub>
                        <m:r>
                          <m:rPr/>
                          <m:t>ig</m:t>
                        </m:r>
                      </m:sub>
                      <m:sup>
                        <m:r>
                          <m:rPr/>
                          <m:t>S</m:t>
                        </m:r>
                      </m:sup>
                    </m:sSubSup>
                  </m:e>
                  <m:e>
                    <m:sSubSup>
                      <m:sSubSupPr/>
                      <m:e>
                        <m:r>
                          <m:rPr/>
                          <m:t>r</m:t>
                        </m:r>
                      </m:e>
                      <m:sub>
                        <m:r>
                          <m:rPr/>
                          <m:t>ig</m:t>
                        </m:r>
                      </m:sub>
                      <m:sup>
                        <m:r>
                          <m:rPr/>
                          <m:t>A</m:t>
                        </m:r>
                      </m:sup>
                    </m:sSubSup>
                  </m:e>
                </m:d>
              </m:num>
              <m:den>
                <m:sSub>
                  <m:sSubPr/>
                  <m:e>
                    <m:r>
                      <m:rPr/>
                      <m:t>n</m:t>
                    </m:r>
                  </m:e>
                  <m:sub>
                    <m:r>
                      <m:rPr/>
                      <m:t>g</m:t>
                    </m:r>
                  </m:sub>
                </m:sSub>
                <m:r>
                  <m:rPr/>
                  <m:t>−1</m:t>
                </m:r>
              </m:den>
            </m:f>
          </m:e>
        </m:nary>
      </m:oMath>
      <w:r>
        <w:rPr>
          <w:rFonts w:ascii="Times New Roman" w:hAnsi="Times New Roman" w:cs="Times New Roman"/>
        </w:rPr>
        <w:tab/>
      </w:r>
      <w:r>
        <w:rPr>
          <w:rFonts w:ascii="Times New Roman" w:hAnsi="Times New Roman" w:cs="Times New Roman"/>
        </w:rPr>
        <w:t>(3-4)</w:t>
      </w:r>
      <w:r>
        <w:rPr>
          <w:rFonts w:ascii="Times New Roman" w:hAnsi="Times New Roman" w:cs="Times New Roman"/>
          <w:vanish/>
          <w:sz w:val="2"/>
        </w:rPr>
        <w:t>[AxMath LaTeX: M_g=\frac{1}{n_g}\sum_{i\in g}\frac{\left|r_{ig}^{S}-r_{ig}^{A}\right|}{n_g-1} \tag{3-4}]</w:t>
      </w:r>
    </w:p>
    <w:p w14:paraId="770CDAE4">
      <w:r>
        <w:rPr>
          <w:rFonts w:cs="Times New Roman"/>
        </w:rPr>
        <w:t xml:space="preserve">分母 </w:t>
      </w:r>
      <m:oMath>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g</m:t>
            </m:r>
            <m:ctrlPr>
              <w:rPr>
                <w:rFonts w:ascii="Cambria Math" w:hAnsi="Cambria Math"/>
              </w:rPr>
            </m:ctrlPr>
          </m:sub>
        </m:sSub>
        <m:r>
          <m:rPr/>
          <w:rPr>
            <w:rFonts w:ascii="Cambria Math" w:hAnsi="Cambria Math"/>
          </w:rPr>
          <m:t>−1</m:t>
        </m:r>
      </m:oMath>
      <w:r>
        <w:rPr>
          <w:rFonts w:cs="Times New Roman"/>
          <w:vanish/>
          <w:sz w:val="2"/>
        </w:rPr>
        <w:t>[AxMath LaTeX: n_g-1]</w:t>
      </w:r>
      <w:r>
        <w:rPr>
          <w:rFonts w:cs="Times New Roman"/>
        </w:rPr>
        <w:t xml:space="preserve"> 将不同规模单元的名次差转化为相对位置差。</w:t>
      </w:r>
      <m:oMath>
        <m:sSub>
          <m:sSubPr>
            <m:ctrlPr>
              <w:rPr>
                <w:rFonts w:ascii="Cambria Math" w:hAnsi="Cambria Math"/>
              </w:rPr>
            </m:ctrlPr>
          </m:sSubPr>
          <m:e>
            <m:r>
              <m:rPr/>
              <w:rPr>
                <w:rFonts w:ascii="Cambria Math" w:hAnsi="Cambria Math"/>
              </w:rPr>
              <m:t>M</m:t>
            </m:r>
            <m:ctrlPr>
              <w:rPr>
                <w:rFonts w:ascii="Cambria Math" w:hAnsi="Cambria Math"/>
              </w:rPr>
            </m:ctrlPr>
          </m:e>
          <m:sub>
            <m:r>
              <m:rPr/>
              <w:rPr>
                <w:rFonts w:ascii="Cambria Math" w:hAnsi="Cambria Math"/>
              </w:rPr>
              <m:t>g</m:t>
            </m:r>
            <m:ctrlPr>
              <w:rPr>
                <w:rFonts w:ascii="Cambria Math" w:hAnsi="Cambria Math"/>
              </w:rPr>
            </m:ctrlPr>
          </m:sub>
        </m:sSub>
        <m:r>
          <m:rPr/>
          <w:rPr>
            <w:rFonts w:ascii="Cambria Math" w:hAnsi="Cambria Math"/>
          </w:rPr>
          <m:t>=0</m:t>
        </m:r>
      </m:oMath>
      <w:r>
        <w:rPr>
          <w:rFonts w:cs="Times New Roman"/>
          <w:vanish/>
          <w:sz w:val="2"/>
        </w:rPr>
        <w:t>[AxMath LaTeX: M_g=0]</w:t>
      </w:r>
      <w:r>
        <w:rPr>
          <w:rFonts w:cs="Times New Roman"/>
        </w:rPr>
        <w:t xml:space="preserve"> 表示两种排序完全一致；数值越大，表示学生相对位置的平均调整越明显。学院汇总按学生数加权，不能把小单元与大单元的百分比简单平均。</w:t>
      </w:r>
    </w:p>
    <w:p w14:paraId="226FB00E">
      <w:pPr>
        <w:pStyle w:val="4"/>
      </w:pPr>
      <w:bookmarkStart w:id="15" w:name="_Toc240540897"/>
      <w:r>
        <w:rPr>
          <w:rFonts w:ascii="Times New Roman" w:hAnsi="Times New Roman" w:eastAsia="黑体" w:cs="Times New Roman"/>
        </w:rPr>
        <w:t>3.3 学业次序逆转模型</w:t>
      </w:r>
      <w:bookmarkEnd w:id="15"/>
    </w:p>
    <w:p w14:paraId="31C1BD2A">
      <w:r>
        <w:rPr>
          <w:rFonts w:cs="Times New Roman"/>
        </w:rPr>
        <w:t xml:space="preserve">排名位移无法区分哪一对学生发生了顺序变化。设单元 </w:t>
      </w:r>
      <m:oMath>
        <m:r>
          <m:rPr/>
          <w:rPr>
            <w:rFonts w:ascii="Cambria Math" w:hAnsi="Cambria Math"/>
          </w:rPr>
          <m:t>g</m:t>
        </m:r>
      </m:oMath>
      <w:r>
        <w:rPr>
          <w:rFonts w:cs="Times New Roman"/>
          <w:vanish/>
          <w:sz w:val="2"/>
        </w:rPr>
        <w:t>[AxMath LaTeX: g]</w:t>
      </w:r>
      <w:r>
        <w:rPr>
          <w:rFonts w:cs="Times New Roman"/>
        </w:rPr>
        <w:t xml:space="preserve"> 中智育严格不同的学生对集合为：</w:t>
      </w:r>
    </w:p>
    <w:p w14:paraId="7082B0F2">
      <w:pPr>
        <w:pStyle w:val="167"/>
        <w:tabs>
          <w:tab w:val="center" w:pos="4479"/>
          <w:tab w:val="right" w:pos="8957"/>
        </w:tabs>
        <w:ind w:left="0" w:right="0"/>
        <w:jc w:val="left"/>
      </w:pPr>
      <w:r>
        <w:tab/>
      </w:r>
      <m:oMath>
        <m:sSub>
          <m:sSubPr/>
          <m:e>
            <m:r>
              <m:rPr/>
              <m:t>P</m:t>
            </m:r>
          </m:e>
          <m:sub>
            <m:r>
              <m:rPr/>
              <m:t>g</m:t>
            </m:r>
          </m:sub>
        </m:sSub>
        <m:r>
          <m:rPr/>
          <m:t>=</m:t>
        </m:r>
        <m:d>
          <m:dPr>
            <m:begChr m:val="{"/>
            <m:endChr m:val="}"/>
          </m:dPr>
          <m:e>
            <m:r>
              <m:rPr/>
              <m:t>(i,j):i&lt;j,</m:t>
            </m:r>
            <m:r>
              <m:rPr>
                <m:sty m:val="p"/>
              </m:rPr>
              <m:t> </m:t>
            </m:r>
            <m:sSub>
              <m:sSubPr/>
              <m:e>
                <m:r>
                  <m:rPr/>
                  <m:t>A</m:t>
                </m:r>
              </m:e>
              <m:sub>
                <m:r>
                  <m:rPr/>
                  <m:t>i</m:t>
                </m:r>
              </m:sub>
            </m:sSub>
            <m:r>
              <m:rPr/>
              <m:t>≠</m:t>
            </m:r>
            <m:sSub>
              <m:sSubPr/>
              <m:e>
                <m:r>
                  <m:rPr/>
                  <m:t>A</m:t>
                </m:r>
              </m:e>
              <m:sub>
                <m:r>
                  <m:rPr/>
                  <m:t>j</m:t>
                </m:r>
              </m:sub>
            </m:sSub>
          </m:e>
        </m:d>
      </m:oMath>
      <w:r>
        <w:rPr>
          <w:rFonts w:ascii="Times New Roman" w:hAnsi="Times New Roman" w:cs="Times New Roman"/>
          <w:vanish/>
          <w:sz w:val="2"/>
        </w:rPr>
        <w:t>[AxMath LaTeX: P_g=\left\{(i,j):i&lt;j,\ A_i\neq A_j\right\}]</w:t>
      </w:r>
    </w:p>
    <w:p w14:paraId="37C082CE">
      <w:r>
        <w:rPr>
          <w:rFonts w:cs="Times New Roman"/>
        </w:rPr>
        <w:t>当智育分差与综合分差异号时，定义为一次严格学业次序逆转：</w:t>
      </w:r>
    </w:p>
    <w:p w14:paraId="6F66E57C">
      <w:pPr>
        <w:pStyle w:val="167"/>
        <w:tabs>
          <w:tab w:val="center" w:pos="4479"/>
          <w:tab w:val="right" w:pos="8957"/>
        </w:tabs>
        <w:ind w:left="0" w:right="0"/>
        <w:jc w:val="left"/>
      </w:pPr>
      <w:r>
        <w:tab/>
      </w:r>
      <m:oMath>
        <m:sSub>
          <m:sSubPr/>
          <m:e>
            <m:r>
              <m:rPr/>
              <m:t>R</m:t>
            </m:r>
          </m:e>
          <m:sub>
            <m:r>
              <m:rPr/>
              <m:t>g</m:t>
            </m:r>
          </m:sub>
        </m:sSub>
        <m:r>
          <m:rPr/>
          <m:t>=</m:t>
        </m:r>
        <m:f>
          <m:fPr/>
          <m:num>
            <m:nary>
              <m:naryPr>
                <m:chr m:val="∑"/>
                <m:grow m:val="1"/>
                <m:limLoc m:val="subSup"/>
                <m:supHide m:val="1"/>
              </m:naryPr>
              <m:sub>
                <m:r>
                  <m:rPr/>
                  <m:t>(i,j)∈</m:t>
                </m:r>
                <m:sSub>
                  <m:sSubPr/>
                  <m:e>
                    <m:r>
                      <m:rPr/>
                      <m:t>P</m:t>
                    </m:r>
                  </m:e>
                  <m:sub>
                    <m:r>
                      <m:rPr/>
                      <m:t>g</m:t>
                    </m:r>
                  </m:sub>
                </m:sSub>
              </m:sub>
              <m:sup/>
              <m:e>
                <m:r>
                  <m:rPr/>
                  <m:t>I</m:t>
                </m:r>
              </m:e>
            </m:nary>
            <m:d>
              <m:dPr>
                <m:begChr m:val="["/>
                <m:endChr m:val="]"/>
              </m:dPr>
              <m:e>
                <m:r>
                  <m:rPr/>
                  <m:t>(</m:t>
                </m:r>
                <m:sSub>
                  <m:sSubPr/>
                  <m:e>
                    <m:r>
                      <m:rPr/>
                      <m:t>A</m:t>
                    </m:r>
                  </m:e>
                  <m:sub>
                    <m:r>
                      <m:rPr/>
                      <m:t>i</m:t>
                    </m:r>
                  </m:sub>
                </m:sSub>
                <m:r>
                  <m:rPr/>
                  <m:t>−</m:t>
                </m:r>
                <m:sSub>
                  <m:sSubPr/>
                  <m:e>
                    <m:r>
                      <m:rPr/>
                      <m:t>A</m:t>
                    </m:r>
                  </m:e>
                  <m:sub>
                    <m:r>
                      <m:rPr/>
                      <m:t>j</m:t>
                    </m:r>
                  </m:sub>
                </m:sSub>
                <m:r>
                  <m:rPr/>
                  <m:t>)(</m:t>
                </m:r>
                <m:sSub>
                  <m:sSubPr/>
                  <m:e>
                    <m:r>
                      <m:rPr/>
                      <m:t>S</m:t>
                    </m:r>
                  </m:e>
                  <m:sub>
                    <m:r>
                      <m:rPr/>
                      <m:t>i</m:t>
                    </m:r>
                  </m:sub>
                </m:sSub>
                <m:r>
                  <m:rPr/>
                  <m:t>−</m:t>
                </m:r>
                <m:sSub>
                  <m:sSubPr/>
                  <m:e>
                    <m:r>
                      <m:rPr/>
                      <m:t>S</m:t>
                    </m:r>
                  </m:e>
                  <m:sub>
                    <m:r>
                      <m:rPr/>
                      <m:t>j</m:t>
                    </m:r>
                  </m:sub>
                </m:sSub>
                <m:r>
                  <m:rPr/>
                  <m:t>)&lt;0</m:t>
                </m:r>
              </m:e>
            </m:d>
          </m:num>
          <m:den>
            <m:d>
              <m:dPr>
                <m:begChr m:val="|"/>
                <m:endChr m:val="|"/>
              </m:dPr>
              <m:e>
                <m:sSub>
                  <m:sSubPr/>
                  <m:e>
                    <m:r>
                      <m:rPr/>
                      <m:t>P</m:t>
                    </m:r>
                  </m:e>
                  <m:sub>
                    <m:r>
                      <m:rPr/>
                      <m:t>g</m:t>
                    </m:r>
                  </m:sub>
                </m:sSub>
              </m:e>
            </m:d>
          </m:den>
        </m:f>
      </m:oMath>
      <w:r>
        <w:rPr>
          <w:rFonts w:ascii="Times New Roman" w:hAnsi="Times New Roman" w:cs="Times New Roman"/>
        </w:rPr>
        <w:tab/>
      </w:r>
      <w:r>
        <w:rPr>
          <w:rFonts w:ascii="Times New Roman" w:hAnsi="Times New Roman" w:cs="Times New Roman"/>
        </w:rPr>
        <w:t>(3-5)</w:t>
      </w:r>
      <w:r>
        <w:rPr>
          <w:rFonts w:ascii="Times New Roman" w:hAnsi="Times New Roman" w:cs="Times New Roman"/>
          <w:vanish/>
          <w:sz w:val="2"/>
        </w:rPr>
        <w:t>[AxMath LaTeX: R_g=\frac{\sum_{(i,j)\in P_g}I\!\left[(A_i-A_j)(S_i-S_j)&lt;0\right]}{|P_g|} \tag{3-5}]</w:t>
      </w:r>
    </w:p>
    <w:p w14:paraId="0D3E2FEF">
      <w:r>
        <w:rPr>
          <w:rFonts w:cs="Times New Roman"/>
        </w:rPr>
        <w:t>综合分并列不计为严格逆转。组别层逆转率采用各单元逆转对数之和除以严格可比对数之和，不跨单元构造学生对。</w:t>
      </w:r>
    </w:p>
    <w:p w14:paraId="25C18BB0">
      <w:r>
        <w:rPr>
          <w:rFonts w:cs="Times New Roman"/>
        </w:rPr>
        <w:t xml:space="preserve">近似同分者由其他维度区分，可能正是综合评价的制度功能。为了识别中等学业差距下的排序重构，本文单列 </w:t>
      </w:r>
      <m:oMath>
        <m:r>
          <m:rPr/>
          <w:rPr>
            <w:rFonts w:ascii="Cambria Math" w:hAnsi="Cambria Math"/>
          </w:rPr>
          <m:t>5&lt;|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j</m:t>
            </m:r>
            <m:ctrlPr>
              <w:rPr>
                <w:rFonts w:ascii="Cambria Math" w:hAnsi="Cambria Math"/>
              </w:rPr>
            </m:ctrlPr>
          </m:sub>
        </m:sSub>
        <m:r>
          <m:rPr/>
          <w:rPr>
            <w:rFonts w:ascii="Cambria Math" w:hAnsi="Cambria Math"/>
          </w:rPr>
          <m:t>|≤10</m:t>
        </m:r>
      </m:oMath>
      <w:r>
        <w:rPr>
          <w:rFonts w:cs="Times New Roman"/>
          <w:vanish/>
          <w:sz w:val="2"/>
        </w:rPr>
        <w:t>[AxMath LaTeX: 5&lt;|A_i-A_j|\leq10]</w:t>
      </w:r>
      <w:r>
        <w:rPr>
          <w:rFonts w:cs="Times New Roman"/>
        </w:rPr>
        <w:t xml:space="preserve"> 的学生对并计算 </w:t>
      </w:r>
      <m:oMath>
        <m:sSub>
          <m:sSubPr>
            <m:ctrlPr>
              <w:rPr>
                <w:rFonts w:ascii="Cambria Math" w:hAnsi="Cambria Math"/>
              </w:rPr>
            </m:ctrlPr>
          </m:sSubPr>
          <m:e>
            <m:r>
              <m:rPr/>
              <w:rPr>
                <w:rFonts w:ascii="Cambria Math" w:hAnsi="Cambria Math"/>
              </w:rPr>
              <m:t>R</m:t>
            </m:r>
            <m:ctrlPr>
              <w:rPr>
                <w:rFonts w:ascii="Cambria Math" w:hAnsi="Cambria Math"/>
              </w:rPr>
            </m:ctrlPr>
          </m:e>
          <m:sub>
            <m:r>
              <m:rPr/>
              <w:rPr>
                <w:rFonts w:ascii="Cambria Math" w:hAnsi="Cambria Math"/>
              </w:rPr>
              <m:t>5−10</m:t>
            </m:r>
            <m:ctrlPr>
              <w:rPr>
                <w:rFonts w:ascii="Cambria Math" w:hAnsi="Cambria Math"/>
              </w:rPr>
            </m:ctrlPr>
          </m:sub>
        </m:sSub>
      </m:oMath>
      <w:r>
        <w:rPr>
          <w:rFonts w:cs="Times New Roman"/>
          <w:vanish/>
          <w:sz w:val="2"/>
        </w:rPr>
        <w:t>[AxMath LaTeX: R_{5-10}]</w:t>
      </w:r>
      <w:r>
        <w:rPr>
          <w:rFonts w:cs="Times New Roman"/>
        </w:rPr>
        <w:t>。该指标比总体相关系数更直接地回答：当学生智育成绩已有5—10分差距时，非智育分项是否仍足以改变先后次序。它描述排序结果，不判断此类逆转在价值上必然合理或不合理。</w:t>
      </w:r>
    </w:p>
    <w:p w14:paraId="4B39FEA4">
      <w:pPr>
        <w:pStyle w:val="4"/>
      </w:pPr>
      <w:bookmarkStart w:id="16" w:name="_Toc240540898"/>
      <w:r>
        <w:rPr>
          <w:rFonts w:ascii="Times New Roman" w:hAnsi="Times New Roman" w:eastAsia="黑体" w:cs="Times New Roman"/>
        </w:rPr>
        <w:t>3.4 头部集合稳定性模型</w:t>
      </w:r>
      <w:bookmarkEnd w:id="16"/>
    </w:p>
    <w:p w14:paraId="0AEAB1FF">
      <w:r>
        <w:rPr>
          <w:rFonts w:cs="Times New Roman"/>
        </w:rPr>
        <w:t xml:space="preserve">竞争性评价通常关心前若干比例名单，而整体秩相关或逆转率不能确定头部成员更换多少。对比例 </w:t>
      </w:r>
      <m:oMath>
        <m:r>
          <m:rPr/>
          <w:rPr>
            <w:rFonts w:ascii="Cambria Math" w:hAnsi="Cambria Math"/>
          </w:rPr>
          <m:t>q∈{0.10,0.20,0.30}</m:t>
        </m:r>
      </m:oMath>
      <w:r>
        <w:rPr>
          <w:rFonts w:cs="Times New Roman"/>
          <w:vanish/>
          <w:sz w:val="2"/>
        </w:rPr>
        <w:t>[AxMath LaTeX: q\in\{0.10,0.20,0.30\}]</w:t>
      </w:r>
      <w:r>
        <w:rPr>
          <w:rFonts w:cs="Times New Roman"/>
        </w:rPr>
        <w:t xml:space="preserve">，设智育头部集合、现行综评头部集合和候选方案头部集合分别为 </w:t>
      </w:r>
      <m:oMath>
        <m:sSub>
          <m:sSubPr>
            <m:ctrlPr>
              <w:rPr>
                <w:rFonts w:ascii="Cambria Math" w:hAnsi="Cambria Math"/>
              </w:rPr>
            </m:ctrlPr>
          </m:sSubPr>
          <m:e>
            <m:r>
              <m:rPr/>
              <w:rPr>
                <w:rFonts w:ascii="Cambria Math" w:hAnsi="Cambria Math"/>
              </w:rPr>
              <m:t>H</m:t>
            </m:r>
            <m:ctrlPr>
              <w:rPr>
                <w:rFonts w:ascii="Cambria Math" w:hAnsi="Cambria Math"/>
              </w:rPr>
            </m:ctrlPr>
          </m:e>
          <m:sub>
            <m:r>
              <m:rPr/>
              <w:rPr>
                <w:rFonts w:ascii="Cambria Math" w:hAnsi="Cambria Math"/>
              </w:rPr>
              <m:t>A,q</m:t>
            </m:r>
            <m:ctrlPr>
              <w:rPr>
                <w:rFonts w:ascii="Cambria Math" w:hAnsi="Cambria Math"/>
              </w:rPr>
            </m:ctrlPr>
          </m:sub>
        </m:sSub>
      </m:oMath>
      <w:r>
        <w:rPr>
          <w:rFonts w:cs="Times New Roman"/>
          <w:vanish/>
          <w:sz w:val="2"/>
        </w:rPr>
        <w:t>[AxMath LaTeX: H_{A,q}]</w:t>
      </w:r>
      <w:r>
        <w:rPr>
          <w:rFonts w:cs="Times New Roman"/>
        </w:rPr>
        <w:t>、</w:t>
      </w:r>
      <m:oMath>
        <m:sSub>
          <m:sSubPr>
            <m:ctrlPr>
              <w:rPr>
                <w:rFonts w:ascii="Cambria Math" w:hAnsi="Cambria Math"/>
              </w:rPr>
            </m:ctrlPr>
          </m:sSubPr>
          <m:e>
            <m:r>
              <m:rPr/>
              <w:rPr>
                <w:rFonts w:ascii="Cambria Math" w:hAnsi="Cambria Math"/>
              </w:rPr>
              <m:t>H</m:t>
            </m:r>
            <m:ctrlPr>
              <w:rPr>
                <w:rFonts w:ascii="Cambria Math" w:hAnsi="Cambria Math"/>
              </w:rPr>
            </m:ctrlPr>
          </m:e>
          <m:sub>
            <m:r>
              <m:rPr/>
              <w:rPr>
                <w:rFonts w:ascii="Cambria Math" w:hAnsi="Cambria Math"/>
              </w:rPr>
              <m:t>0,q</m:t>
            </m:r>
            <m:ctrlPr>
              <w:rPr>
                <w:rFonts w:ascii="Cambria Math" w:hAnsi="Cambria Math"/>
              </w:rPr>
            </m:ctrlPr>
          </m:sub>
        </m:sSub>
      </m:oMath>
      <w:r>
        <w:rPr>
          <w:rFonts w:cs="Times New Roman"/>
          <w:vanish/>
          <w:sz w:val="2"/>
        </w:rPr>
        <w:t>[AxMath LaTeX: H_{0,q}]</w:t>
      </w:r>
      <w:r>
        <w:rPr>
          <w:rFonts w:cs="Times New Roman"/>
        </w:rPr>
        <w:t xml:space="preserve"> 和 </w:t>
      </w:r>
      <m:oMath>
        <m:sSub>
          <m:sSubPr>
            <m:ctrlPr>
              <w:rPr>
                <w:rFonts w:ascii="Cambria Math" w:hAnsi="Cambria Math"/>
              </w:rPr>
            </m:ctrlPr>
          </m:sSubPr>
          <m:e>
            <m:r>
              <m:rPr/>
              <w:rPr>
                <w:rFonts w:ascii="Cambria Math" w:hAnsi="Cambria Math"/>
              </w:rPr>
              <m:t>H</m:t>
            </m:r>
            <m:ctrlPr>
              <w:rPr>
                <w:rFonts w:ascii="Cambria Math" w:hAnsi="Cambria Math"/>
              </w:rPr>
            </m:ctrlPr>
          </m:e>
          <m:sub>
            <m:r>
              <m:rPr/>
              <w:rPr>
                <w:rFonts w:ascii="Cambria Math" w:hAnsi="Cambria Math"/>
              </w:rPr>
              <m:t>w,q</m:t>
            </m:r>
            <m:ctrlPr>
              <w:rPr>
                <w:rFonts w:ascii="Cambria Math" w:hAnsi="Cambria Math"/>
              </w:rPr>
            </m:ctrlPr>
          </m:sub>
        </m:sSub>
      </m:oMath>
      <w:r>
        <w:rPr>
          <w:rFonts w:cs="Times New Roman"/>
          <w:vanish/>
          <w:sz w:val="2"/>
        </w:rPr>
        <w:t>[AxMath LaTeX: H_{w,q}]</w:t>
      </w:r>
      <w:r>
        <w:rPr>
          <w:rFonts w:cs="Times New Roman"/>
        </w:rPr>
        <w:t xml:space="preserve">。各集合先在真实排序单元内构造，再按学院汇总分子和分母，不跨单元重新排校级名次。比例下标20表示前20%，即公式中 </w:t>
      </w:r>
      <m:oMath>
        <m:r>
          <m:rPr/>
          <w:rPr>
            <w:rFonts w:ascii="Cambria Math" w:hAnsi="Cambria Math"/>
          </w:rPr>
          <m:t>q=0.20</m:t>
        </m:r>
      </m:oMath>
      <w:r>
        <w:rPr>
          <w:rFonts w:cs="Times New Roman"/>
          <w:vanish/>
          <w:sz w:val="2"/>
        </w:rPr>
        <w:t>[AxMath LaTeX: q=0.20]</w:t>
      </w:r>
      <w:r>
        <w:rPr>
          <w:rFonts w:cs="Times New Roman"/>
        </w:rPr>
        <w:t>。每个排序单元名额按人数向上取整，主口径以最小秩保留截点并列者。</w:t>
      </w:r>
    </w:p>
    <w:p w14:paraId="0F8B0008">
      <w:r>
        <w:rPr>
          <w:rFonts w:cs="Times New Roman"/>
        </w:rPr>
        <w:t>智育头部流失率与原综评名单退出率分别定义为：</w:t>
      </w:r>
    </w:p>
    <w:p w14:paraId="628CF00C">
      <w:pPr>
        <w:pStyle w:val="167"/>
        <w:tabs>
          <w:tab w:val="center" w:pos="4479"/>
          <w:tab w:val="right" w:pos="8957"/>
        </w:tabs>
        <w:ind w:left="0" w:right="0"/>
        <w:jc w:val="left"/>
      </w:pPr>
      <w:r>
        <w:tab/>
      </w:r>
      <m:oMath>
        <m:sSub>
          <m:sSubPr/>
          <m:e>
            <m:r>
              <m:rPr/>
              <m:t>L</m:t>
            </m:r>
          </m:e>
          <m:sub>
            <m:r>
              <m:rPr/>
              <m:t>q</m:t>
            </m:r>
          </m:sub>
        </m:sSub>
        <m:r>
          <m:rPr/>
          <m:t>=</m:t>
        </m:r>
        <m:f>
          <m:fPr/>
          <m:num>
            <m:d>
              <m:dPr>
                <m:begChr m:val="|"/>
                <m:endChr m:val="|"/>
              </m:dPr>
              <m:e>
                <m:sSub>
                  <m:sSubPr/>
                  <m:e>
                    <m:r>
                      <m:rPr/>
                      <m:t>H</m:t>
                    </m:r>
                  </m:e>
                  <m:sub>
                    <m:r>
                      <m:rPr/>
                      <m:t>A,q</m:t>
                    </m:r>
                  </m:sub>
                </m:sSub>
                <m:r>
                  <m:rPr/>
                  <m:t>⧵</m:t>
                </m:r>
                <m:sSub>
                  <m:sSubPr/>
                  <m:e>
                    <m:r>
                      <m:rPr/>
                      <m:t>H</m:t>
                    </m:r>
                  </m:e>
                  <m:sub>
                    <m:r>
                      <m:rPr/>
                      <m:t>w,q</m:t>
                    </m:r>
                  </m:sub>
                </m:sSub>
              </m:e>
            </m:d>
          </m:num>
          <m:den>
            <m:d>
              <m:dPr>
                <m:begChr m:val="|"/>
                <m:endChr m:val="|"/>
              </m:dPr>
              <m:e>
                <m:sSub>
                  <m:sSubPr/>
                  <m:e>
                    <m:r>
                      <m:rPr/>
                      <m:t>H</m:t>
                    </m:r>
                  </m:e>
                  <m:sub>
                    <m:r>
                      <m:rPr/>
                      <m:t>A,q</m:t>
                    </m:r>
                  </m:sub>
                </m:sSub>
              </m:e>
            </m:d>
          </m:den>
        </m:f>
        <m:r>
          <m:rPr/>
          <m:t>,</m:t>
        </m:r>
        <m:sSub>
          <m:sSubPr/>
          <m:e>
            <m:r>
              <m:rPr/>
              <m:t>X</m:t>
            </m:r>
          </m:e>
          <m:sub>
            <m:r>
              <m:rPr/>
              <m:t>q</m:t>
            </m:r>
          </m:sub>
        </m:sSub>
        <m:r>
          <m:rPr/>
          <m:t>=</m:t>
        </m:r>
        <m:f>
          <m:fPr/>
          <m:num>
            <m:d>
              <m:dPr>
                <m:begChr m:val="|"/>
                <m:endChr m:val="|"/>
              </m:dPr>
              <m:e>
                <m:sSub>
                  <m:sSubPr/>
                  <m:e>
                    <m:r>
                      <m:rPr/>
                      <m:t>H</m:t>
                    </m:r>
                  </m:e>
                  <m:sub>
                    <m:r>
                      <m:rPr/>
                      <m:t>0,q</m:t>
                    </m:r>
                  </m:sub>
                </m:sSub>
                <m:r>
                  <m:rPr/>
                  <m:t>⧵</m:t>
                </m:r>
                <m:sSub>
                  <m:sSubPr/>
                  <m:e>
                    <m:r>
                      <m:rPr/>
                      <m:t>H</m:t>
                    </m:r>
                  </m:e>
                  <m:sub>
                    <m:r>
                      <m:rPr/>
                      <m:t>w,q</m:t>
                    </m:r>
                  </m:sub>
                </m:sSub>
              </m:e>
            </m:d>
          </m:num>
          <m:den>
            <m:d>
              <m:dPr>
                <m:begChr m:val="|"/>
                <m:endChr m:val="|"/>
              </m:dPr>
              <m:e>
                <m:sSub>
                  <m:sSubPr/>
                  <m:e>
                    <m:r>
                      <m:rPr/>
                      <m:t>H</m:t>
                    </m:r>
                  </m:e>
                  <m:sub>
                    <m:r>
                      <m:rPr/>
                      <m:t>0,q</m:t>
                    </m:r>
                  </m:sub>
                </m:sSub>
              </m:e>
            </m:d>
          </m:den>
        </m:f>
      </m:oMath>
      <w:r>
        <w:rPr>
          <w:rFonts w:ascii="Times New Roman" w:hAnsi="Times New Roman" w:cs="Times New Roman"/>
        </w:rPr>
        <w:tab/>
      </w:r>
      <w:r>
        <w:rPr>
          <w:rFonts w:ascii="Times New Roman" w:hAnsi="Times New Roman" w:cs="Times New Roman"/>
        </w:rPr>
        <w:t>(3-6)</w:t>
      </w:r>
      <w:r>
        <w:rPr>
          <w:rFonts w:ascii="Times New Roman" w:hAnsi="Times New Roman" w:cs="Times New Roman"/>
          <w:vanish/>
          <w:sz w:val="2"/>
        </w:rPr>
        <w:t>[AxMath LaTeX: L_q=\frac{|H_{A,q}\setminus H_{w,q}|}{|H_{A,q}|},\qquad X_q=\frac{|H_{0,q}\setminus H_{w,q}|}{|H_{0,q}|} \tag{3-6}]</w:t>
      </w:r>
    </w:p>
    <w:p w14:paraId="2C62AF24">
      <m:oMath>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q</m:t>
            </m:r>
            <m:ctrlPr>
              <w:rPr>
                <w:rFonts w:ascii="Cambria Math" w:hAnsi="Cambria Math"/>
              </w:rPr>
            </m:ctrlPr>
          </m:sub>
        </m:sSub>
      </m:oMath>
      <w:r>
        <w:rPr>
          <w:rFonts w:cs="Times New Roman"/>
          <w:vanish/>
          <w:sz w:val="2"/>
        </w:rPr>
        <w:t>[AxMath LaTeX: L_q]</w:t>
      </w:r>
      <w:r>
        <w:rPr>
          <w:rFonts w:cs="Times New Roman"/>
        </w:rPr>
        <w:t xml:space="preserve"> 衡量智育头部未进入候选综评头部的比例，</w:t>
      </w:r>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q</m:t>
            </m:r>
            <m:ctrlPr>
              <w:rPr>
                <w:rFonts w:ascii="Cambria Math" w:hAnsi="Cambria Math"/>
              </w:rPr>
            </m:ctrlPr>
          </m:sub>
        </m:sSub>
      </m:oMath>
      <w:r>
        <w:rPr>
          <w:rFonts w:cs="Times New Roman"/>
          <w:vanish/>
          <w:sz w:val="2"/>
        </w:rPr>
        <w:t>[AxMath LaTeX: X_q]</w:t>
      </w:r>
      <w:r>
        <w:rPr>
          <w:rFonts w:cs="Times New Roman"/>
        </w:rPr>
        <w:t xml:space="preserve"> 衡量规则调整后原综评头部成员退出的比例。二者分母不同，不能相加或互为补数。</w:t>
      </w:r>
    </w:p>
    <w:p w14:paraId="6977CA86">
      <w:pPr>
        <w:pStyle w:val="4"/>
      </w:pPr>
      <w:bookmarkStart w:id="17" w:name="_Toc240540899"/>
      <w:r>
        <w:rPr>
          <w:rFonts w:ascii="Times New Roman" w:hAnsi="Times New Roman" w:eastAsia="黑体" w:cs="Times New Roman"/>
        </w:rPr>
        <w:t>3.5 非智育补偿与留存指标</w:t>
      </w:r>
      <w:bookmarkEnd w:id="17"/>
    </w:p>
    <w:p w14:paraId="33A16CC5">
      <w:r>
        <w:rPr>
          <w:rFonts w:cs="Times New Roman"/>
        </w:rPr>
        <w:t>若某学生不在智育头部集合、却进入现行综评头部集合，本文将其记为“非智育补偿成员”。该名称只表示集合关系，不意味着可以识别德育或发展素质的因果贡献。候选规则对这部分成员的留存率为：</w:t>
      </w:r>
    </w:p>
    <w:p w14:paraId="52D67F3B">
      <w:pPr>
        <w:pStyle w:val="167"/>
        <w:tabs>
          <w:tab w:val="center" w:pos="4479"/>
          <w:tab w:val="right" w:pos="8957"/>
        </w:tabs>
        <w:ind w:left="0" w:right="0"/>
        <w:jc w:val="left"/>
      </w:pPr>
      <w:r>
        <w:tab/>
      </w:r>
      <m:oMath>
        <m:sSub>
          <m:sSubPr/>
          <m:e>
            <m:r>
              <m:rPr/>
              <m:t>K</m:t>
            </m:r>
          </m:e>
          <m:sub>
            <m:r>
              <m:rPr/>
              <m:t>q</m:t>
            </m:r>
          </m:sub>
        </m:sSub>
        <m:r>
          <m:rPr/>
          <m:t>=</m:t>
        </m:r>
        <m:f>
          <m:fPr/>
          <m:num>
            <m:d>
              <m:dPr>
                <m:begChr m:val="|"/>
                <m:endChr m:val="|"/>
              </m:dPr>
              <m:e>
                <m:r>
                  <m:rPr/>
                  <m:t>(</m:t>
                </m:r>
                <m:sSub>
                  <m:sSubPr/>
                  <m:e>
                    <m:r>
                      <m:rPr/>
                      <m:t>H</m:t>
                    </m:r>
                  </m:e>
                  <m:sub>
                    <m:r>
                      <m:rPr/>
                      <m:t>0,q</m:t>
                    </m:r>
                  </m:sub>
                </m:sSub>
                <m:r>
                  <m:rPr/>
                  <m:t>⧵</m:t>
                </m:r>
                <m:sSub>
                  <m:sSubPr/>
                  <m:e>
                    <m:r>
                      <m:rPr/>
                      <m:t>H</m:t>
                    </m:r>
                  </m:e>
                  <m:sub>
                    <m:r>
                      <m:rPr/>
                      <m:t>A,q</m:t>
                    </m:r>
                  </m:sub>
                </m:sSub>
                <m:r>
                  <m:rPr/>
                  <m:t>)∩</m:t>
                </m:r>
                <m:sSub>
                  <m:sSubPr/>
                  <m:e>
                    <m:r>
                      <m:rPr/>
                      <m:t>H</m:t>
                    </m:r>
                  </m:e>
                  <m:sub>
                    <m:r>
                      <m:rPr/>
                      <m:t>w,q</m:t>
                    </m:r>
                  </m:sub>
                </m:sSub>
              </m:e>
            </m:d>
          </m:num>
          <m:den>
            <m:d>
              <m:dPr>
                <m:begChr m:val="|"/>
                <m:endChr m:val="|"/>
              </m:dPr>
              <m:e>
                <m:sSub>
                  <m:sSubPr/>
                  <m:e>
                    <m:r>
                      <m:rPr/>
                      <m:t>H</m:t>
                    </m:r>
                  </m:e>
                  <m:sub>
                    <m:r>
                      <m:rPr/>
                      <m:t>0,q</m:t>
                    </m:r>
                  </m:sub>
                </m:sSub>
                <m:r>
                  <m:rPr/>
                  <m:t>⧵</m:t>
                </m:r>
                <m:sSub>
                  <m:sSubPr/>
                  <m:e>
                    <m:r>
                      <m:rPr/>
                      <m:t>H</m:t>
                    </m:r>
                  </m:e>
                  <m:sub>
                    <m:r>
                      <m:rPr/>
                      <m:t>A,q</m:t>
                    </m:r>
                  </m:sub>
                </m:sSub>
              </m:e>
            </m:d>
          </m:den>
        </m:f>
      </m:oMath>
      <w:r>
        <w:rPr>
          <w:rFonts w:ascii="Times New Roman" w:hAnsi="Times New Roman" w:cs="Times New Roman"/>
        </w:rPr>
        <w:tab/>
      </w:r>
      <w:r>
        <w:rPr>
          <w:rFonts w:ascii="Times New Roman" w:hAnsi="Times New Roman" w:cs="Times New Roman"/>
        </w:rPr>
        <w:t>(3-7)</w:t>
      </w:r>
      <w:r>
        <w:rPr>
          <w:rFonts w:ascii="Times New Roman" w:hAnsi="Times New Roman" w:cs="Times New Roman"/>
          <w:vanish/>
          <w:sz w:val="2"/>
        </w:rPr>
        <w:t>[AxMath LaTeX: K_q=\frac{|(H_{0,q}\setminus H_{A,q})\cap H_{w,q}|}{|H_{0,q}\setminus H_{A,q}|} \tag{3-7}]</w:t>
      </w:r>
    </w:p>
    <w:p w14:paraId="3B698166">
      <w:r>
        <w:rPr>
          <w:rFonts w:cs="Times New Roman"/>
        </w:rPr>
        <w:t xml:space="preserve">若分母为空，则 </w:t>
      </w:r>
      <m:oMath>
        <m:sSub>
          <m:sSubPr>
            <m:ctrlPr>
              <w:rPr>
                <w:rFonts w:ascii="Cambria Math" w:hAnsi="Cambria Math"/>
              </w:rPr>
            </m:ctrlPr>
          </m:sSubPr>
          <m:e>
            <m:r>
              <m:rPr/>
              <w:rPr>
                <w:rFonts w:ascii="Cambria Math" w:hAnsi="Cambria Math"/>
              </w:rPr>
              <m:t>K</m:t>
            </m:r>
            <m:ctrlPr>
              <w:rPr>
                <w:rFonts w:ascii="Cambria Math" w:hAnsi="Cambria Math"/>
              </w:rPr>
            </m:ctrlPr>
          </m:e>
          <m:sub>
            <m:r>
              <m:rPr/>
              <w:rPr>
                <w:rFonts w:ascii="Cambria Math" w:hAnsi="Cambria Math"/>
              </w:rPr>
              <m:t>q</m:t>
            </m:r>
            <m:ctrlPr>
              <w:rPr>
                <w:rFonts w:ascii="Cambria Math" w:hAnsi="Cambria Math"/>
              </w:rPr>
            </m:ctrlPr>
          </m:sub>
        </m:sSub>
      </m:oMath>
      <w:r>
        <w:rPr>
          <w:rFonts w:cs="Times New Roman"/>
          <w:vanish/>
          <w:sz w:val="2"/>
        </w:rPr>
        <w:t>[AxMath LaTeX: K_q]</w:t>
      </w:r>
      <w:r>
        <w:rPr>
          <w:rFonts w:cs="Times New Roman"/>
        </w:rPr>
        <w:t xml:space="preserve"> 记为缺失，不以0替代。</w:t>
      </w:r>
      <m:oMath>
        <m:sSub>
          <m:sSubPr>
            <m:ctrlPr>
              <w:rPr>
                <w:rFonts w:ascii="Cambria Math" w:hAnsi="Cambria Math"/>
              </w:rPr>
            </m:ctrlPr>
          </m:sSubPr>
          <m:e>
            <m:r>
              <m:rPr/>
              <w:rPr>
                <w:rFonts w:ascii="Cambria Math" w:hAnsi="Cambria Math"/>
              </w:rPr>
              <m:t>K</m:t>
            </m:r>
            <m:ctrlPr>
              <w:rPr>
                <w:rFonts w:ascii="Cambria Math" w:hAnsi="Cambria Math"/>
              </w:rPr>
            </m:ctrlPr>
          </m:e>
          <m:sub>
            <m:r>
              <m:rPr/>
              <w:rPr>
                <w:rFonts w:ascii="Cambria Math" w:hAnsi="Cambria Math"/>
              </w:rPr>
              <m:t>q</m:t>
            </m:r>
            <m:ctrlPr>
              <w:rPr>
                <w:rFonts w:ascii="Cambria Math" w:hAnsi="Cambria Math"/>
              </w:rPr>
            </m:ctrlPr>
          </m:sub>
        </m:sSub>
      </m:oMath>
      <w:r>
        <w:rPr>
          <w:rFonts w:cs="Times New Roman"/>
          <w:vanish/>
          <w:sz w:val="2"/>
        </w:rPr>
        <w:t>[AxMath LaTeX: K_q]</w:t>
      </w:r>
      <w:r>
        <w:rPr>
          <w:rFonts w:cs="Times New Roman"/>
        </w:rPr>
        <w:t xml:space="preserve"> 回答的是原制度中依靠非智育优势进入头部者，在新规则下有多少仍被保留。它比单纯的名单重合率多识别了综合评价的补偿功能，但不能代表全面发展价值的全部内容。</w:t>
      </w:r>
    </w:p>
    <w:p w14:paraId="34DB8C3D">
      <w:pPr>
        <w:pStyle w:val="4"/>
      </w:pPr>
      <w:bookmarkStart w:id="18" w:name="_Toc240540900"/>
      <w:r>
        <w:rPr>
          <w:rFonts w:ascii="Times New Roman" w:hAnsi="Times New Roman" w:eastAsia="黑体" w:cs="Times New Roman"/>
        </w:rPr>
        <w:t>3.6 学院最低补偿留存</w:t>
      </w:r>
      <w:bookmarkEnd w:id="18"/>
    </w:p>
    <w:p w14:paraId="659FE0F7">
      <w:r>
        <w:rPr>
          <w:rFonts w:cs="Times New Roman"/>
        </w:rPr>
        <w:t xml:space="preserve">跨组评价若只使用全部记录合并后的总体 </w:t>
      </w:r>
      <m:oMath>
        <m:sSub>
          <m:sSubPr>
            <m:ctrlPr>
              <w:rPr>
                <w:rFonts w:ascii="Cambria Math" w:hAnsi="Cambria Math"/>
              </w:rPr>
            </m:ctrlPr>
          </m:sSubPr>
          <m:e>
            <m:r>
              <m:rPr/>
              <w:rPr>
                <w:rFonts w:ascii="Cambria Math" w:hAnsi="Cambria Math"/>
              </w:rPr>
              <m:t>K</m:t>
            </m:r>
            <m:ctrlPr>
              <w:rPr>
                <w:rFonts w:ascii="Cambria Math" w:hAnsi="Cambria Math"/>
              </w:rPr>
            </m:ctrlPr>
          </m:e>
          <m:sub>
            <m:r>
              <m:rPr/>
              <w:rPr>
                <w:rFonts w:ascii="Cambria Math" w:hAnsi="Cambria Math"/>
              </w:rPr>
              <m:t>20</m:t>
            </m:r>
            <m:ctrlPr>
              <w:rPr>
                <w:rFonts w:ascii="Cambria Math" w:hAnsi="Cambria Math"/>
              </w:rPr>
            </m:ctrlPr>
          </m:sub>
        </m:sSub>
      </m:oMath>
      <w:r>
        <w:rPr>
          <w:rFonts w:cs="Times New Roman"/>
          <w:vanish/>
          <w:sz w:val="2"/>
        </w:rPr>
        <w:t>[AxMath LaTeX: K_{20}]</w:t>
      </w:r>
      <w:r>
        <w:rPr>
          <w:rFonts w:cs="Times New Roman"/>
        </w:rPr>
        <w:t>，大样本学院可能掩盖小样本学院的低留存。本文因此采用学院最低值作为正式硬约束：</w:t>
      </w:r>
    </w:p>
    <w:p w14:paraId="4F97154E">
      <w:pPr>
        <w:pStyle w:val="167"/>
        <w:tabs>
          <w:tab w:val="center" w:pos="4479"/>
          <w:tab w:val="right" w:pos="8957"/>
        </w:tabs>
        <w:ind w:left="0" w:right="0"/>
        <w:jc w:val="left"/>
      </w:pPr>
      <w:r>
        <w:tab/>
      </w:r>
      <m:oMath>
        <m:sSub>
          <m:sSubPr/>
          <m:e>
            <m:r>
              <m:rPr/>
              <m:t>K</m:t>
            </m:r>
          </m:e>
          <m:sub>
            <m:r>
              <m:rPr/>
              <m:t>20,min</m:t>
            </m:r>
          </m:sub>
        </m:sSub>
        <m:r>
          <m:rPr/>
          <m:t>=</m:t>
        </m:r>
        <m:sSub>
          <m:sSubPr/>
          <m:e>
            <m:r>
              <m:rPr/>
              <m:t>min</m:t>
            </m:r>
          </m:e>
          <m:sub>
            <m:r>
              <m:rPr/>
              <m:t>c∈C</m:t>
            </m:r>
          </m:sub>
        </m:sSub>
        <m:sSub>
          <m:sSubPr/>
          <m:e>
            <m:r>
              <m:rPr/>
              <m:t>K</m:t>
            </m:r>
          </m:e>
          <m:sub>
            <m:r>
              <m:rPr/>
              <m:t>20,c</m:t>
            </m:r>
          </m:sub>
        </m:sSub>
      </m:oMath>
      <w:r>
        <w:rPr>
          <w:rFonts w:ascii="Times New Roman" w:hAnsi="Times New Roman" w:cs="Times New Roman"/>
        </w:rPr>
        <w:tab/>
      </w:r>
      <w:r>
        <w:rPr>
          <w:rFonts w:ascii="Times New Roman" w:hAnsi="Times New Roman" w:cs="Times New Roman"/>
        </w:rPr>
        <w:t>(3-8)</w:t>
      </w:r>
      <w:r>
        <w:rPr>
          <w:rFonts w:ascii="Times New Roman" w:hAnsi="Times New Roman" w:cs="Times New Roman"/>
          <w:vanish/>
          <w:sz w:val="2"/>
        </w:rPr>
        <w:t>[AxMath LaTeX: K_{20,\min}=\min_{c\in C}K_{20,c} \tag{3-8}]</w:t>
      </w:r>
    </w:p>
    <w:p w14:paraId="667934A0">
      <w:r>
        <w:rPr>
          <w:rFonts w:cs="Times New Roman"/>
        </w:rPr>
        <w:t xml:space="preserve">正式主结果取 </w:t>
      </w:r>
      <m:oMath>
        <m:r>
          <m:rPr/>
          <w:rPr>
            <w:rFonts w:ascii="Cambria Math" w:hAnsi="Cambria Math"/>
          </w:rPr>
          <m:t>C=</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S</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m:t>
        </m:r>
      </m:oMath>
      <w:r>
        <w:rPr>
          <w:rFonts w:cs="Times New Roman"/>
          <w:vanish/>
          <w:sz w:val="2"/>
        </w:rPr>
        <w:t>[AxMath LaTeX: C=C_S=\{c_1,c_2,c_3\}]</w:t>
      </w:r>
      <w:r>
        <w:rPr>
          <w:rFonts w:cs="Times New Roman"/>
        </w:rPr>
        <w:t xml:space="preserve">，三个组别分别为化工、法学院和计算机；样本敏感性结果取 </w:t>
      </w:r>
      <m:oMath>
        <m:r>
          <m:rPr/>
          <w:rPr>
            <w:rFonts w:ascii="Cambria Math" w:hAnsi="Cambria Math"/>
          </w:rPr>
          <m:t>C=</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E</m:t>
            </m:r>
            <m:ctrlPr>
              <w:rPr>
                <w:rFonts w:ascii="Cambria Math" w:hAnsi="Cambria Math"/>
              </w:rPr>
            </m:ctrlPr>
          </m:sub>
        </m:sSub>
      </m:oMath>
      <w:r>
        <w:rPr>
          <w:rFonts w:cs="Times New Roman"/>
          <w:vanish/>
          <w:sz w:val="2"/>
        </w:rPr>
        <w:t>[AxMath LaTeX: C=C_E]</w:t>
      </w:r>
      <w:r>
        <w:rPr>
          <w:rFonts w:cs="Times New Roman"/>
        </w:rPr>
        <w:t xml:space="preserve">，即在 </w:t>
      </w:r>
      <m:oMath>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S</m:t>
            </m:r>
            <m:ctrlPr>
              <w:rPr>
                <w:rFonts w:ascii="Cambria Math" w:hAnsi="Cambria Math"/>
              </w:rPr>
            </m:ctrlPr>
          </m:sub>
        </m:sSub>
      </m:oMath>
      <w:r>
        <w:rPr>
          <w:rFonts w:cs="Times New Roman"/>
          <w:vanish/>
          <w:sz w:val="2"/>
        </w:rPr>
        <w:t>[AxMath LaTeX: C_S]</w:t>
      </w:r>
      <w:r>
        <w:rPr>
          <w:rFonts w:cs="Times New Roman"/>
        </w:rPr>
        <w:t xml:space="preserve"> 基础上加入生科5个有效专业单元。数信观察名单不进入集合 </w:t>
      </w:r>
      <m:oMath>
        <m:r>
          <m:rPr/>
          <w:rPr>
            <w:rFonts w:ascii="Cambria Math" w:hAnsi="Cambria Math"/>
          </w:rPr>
          <m:t>C</m:t>
        </m:r>
      </m:oMath>
      <w:r>
        <w:rPr>
          <w:rFonts w:cs="Times New Roman"/>
          <w:vanish/>
          <w:sz w:val="2"/>
        </w:rPr>
        <w:t>[AxMath LaTeX: C]</w:t>
      </w:r>
      <w:r>
        <w:rPr>
          <w:rFonts w:cs="Times New Roman"/>
        </w:rPr>
        <w:t xml:space="preserve">。总体 </w:t>
      </w:r>
      <m:oMath>
        <m:sSub>
          <m:sSubPr>
            <m:ctrlPr>
              <w:rPr>
                <w:rFonts w:ascii="Cambria Math" w:hAnsi="Cambria Math"/>
              </w:rPr>
            </m:ctrlPr>
          </m:sSubPr>
          <m:e>
            <m:r>
              <m:rPr/>
              <w:rPr>
                <w:rFonts w:ascii="Cambria Math" w:hAnsi="Cambria Math"/>
              </w:rPr>
              <m:t>K</m:t>
            </m:r>
            <m:ctrlPr>
              <w:rPr>
                <w:rFonts w:ascii="Cambria Math" w:hAnsi="Cambria Math"/>
              </w:rPr>
            </m:ctrlPr>
          </m:e>
          <m:sub>
            <m:r>
              <m:rPr/>
              <w:rPr>
                <w:rFonts w:ascii="Cambria Math" w:hAnsi="Cambria Math"/>
              </w:rPr>
              <m:t>20</m:t>
            </m:r>
            <m:ctrlPr>
              <w:rPr>
                <w:rFonts w:ascii="Cambria Math" w:hAnsi="Cambria Math"/>
              </w:rPr>
            </m:ctrlPr>
          </m:sub>
        </m:sSub>
      </m:oMath>
      <w:r>
        <w:rPr>
          <w:rFonts w:cs="Times New Roman"/>
          <w:vanish/>
          <w:sz w:val="2"/>
        </w:rPr>
        <w:t>[AxMath LaTeX: K_{20}]</w:t>
      </w:r>
      <w:r>
        <w:rPr>
          <w:rFonts w:cs="Times New Roman"/>
        </w:rPr>
        <w:t>、学院等权均值和补偿成员加权均值仅作描述性诊断。</w:t>
      </w:r>
      <m:oMath>
        <m:sSub>
          <m:sSubPr>
            <m:ctrlPr>
              <w:rPr>
                <w:rFonts w:ascii="Cambria Math" w:hAnsi="Cambria Math"/>
              </w:rPr>
            </m:ctrlPr>
          </m:sSubPr>
          <m:e>
            <m:r>
              <m:rPr/>
              <w:rPr>
                <w:rFonts w:ascii="Cambria Math" w:hAnsi="Cambria Math"/>
              </w:rPr>
              <m:t>K</m:t>
            </m:r>
            <m:ctrlPr>
              <w:rPr>
                <w:rFonts w:ascii="Cambria Math" w:hAnsi="Cambria Math"/>
              </w:rPr>
            </m:ctrlPr>
          </m:e>
          <m:sub>
            <m:r>
              <m:rPr/>
              <w:rPr>
                <w:rFonts w:ascii="Cambria Math" w:hAnsi="Cambria Math"/>
              </w:rPr>
              <m:t>20,min</m:t>
            </m:r>
            <m:ctrlPr>
              <w:rPr>
                <w:rFonts w:ascii="Cambria Math" w:hAnsi="Cambria Math"/>
              </w:rPr>
            </m:ctrlPr>
          </m:sub>
        </m:sSub>
        <m:r>
          <m:rPr/>
          <w:rPr>
            <w:rFonts w:ascii="Cambria Math" w:hAnsi="Cambria Math"/>
          </w:rPr>
          <m:t>≥0.90</m:t>
        </m:r>
      </m:oMath>
      <w:r>
        <w:rPr>
          <w:rFonts w:cs="Times New Roman"/>
          <w:vanish/>
          <w:sz w:val="2"/>
        </w:rPr>
        <w:t>[AxMath LaTeX: K_{20,\min}\geq0.90]</w:t>
      </w:r>
      <w:r>
        <w:rPr>
          <w:rFonts w:cs="Times New Roman"/>
        </w:rPr>
        <w:t xml:space="preserve"> 的含义是任何一个学院低于90%均判定该口径下的共同方案不满足约束，即使其他学院远高于90%。这是严格核心或扩展组别中的最低保障原则，不是平均性能要求；其保守性及小分母敏感性必须在压力测试中检验。</w:t>
      </w:r>
    </w:p>
    <w:p w14:paraId="65C2E8A6">
      <w:pPr>
        <w:pStyle w:val="4"/>
      </w:pPr>
      <w:bookmarkStart w:id="19" w:name="_Toc240540901"/>
      <w:r>
        <w:rPr>
          <w:rFonts w:ascii="Times New Roman" w:hAnsi="Times New Roman" w:eastAsia="黑体" w:cs="Times New Roman"/>
        </w:rPr>
        <w:t>3.7 多学院共同可行域</w:t>
      </w:r>
      <w:bookmarkEnd w:id="19"/>
    </w:p>
    <w:p w14:paraId="01640751">
      <w:r>
        <w:rPr>
          <w:rFonts w:cs="Times New Roman"/>
        </w:rPr>
        <w:t xml:space="preserve">设候选权重空间为 </w:t>
      </w:r>
      <m:oMath>
        <m:r>
          <m:rPr/>
          <w:rPr>
            <w:rFonts w:ascii="Cambria Math" w:hAnsi="Cambria Math"/>
          </w:rPr>
          <m:t>Ω</m:t>
        </m:r>
      </m:oMath>
      <w:r>
        <w:rPr>
          <w:rFonts w:cs="Times New Roman"/>
          <w:vanish/>
          <w:sz w:val="2"/>
        </w:rPr>
        <w:t>[AxMath LaTeX: \Omega]</w:t>
      </w:r>
      <w:r>
        <w:rPr>
          <w:rFonts w:cs="Times New Roman"/>
        </w:rPr>
        <w:t xml:space="preserve">，情景 </w:t>
      </w:r>
      <m:oMath>
        <m:r>
          <m:rPr/>
          <w:rPr>
            <w:rFonts w:ascii="Cambria Math" w:hAnsi="Cambria Math"/>
          </w:rPr>
          <m:t>s</m:t>
        </m:r>
      </m:oMath>
      <w:r>
        <w:rPr>
          <w:rFonts w:cs="Times New Roman"/>
          <w:vanish/>
          <w:sz w:val="2"/>
        </w:rPr>
        <w:t>[AxMath LaTeX: s]</w:t>
      </w:r>
      <w:r>
        <w:rPr>
          <w:rFonts w:cs="Times New Roman"/>
        </w:rPr>
        <w:t xml:space="preserve"> 的约束集合为 </w:t>
      </w:r>
      <m:oMath>
        <m:sSub>
          <m:sSubPr>
            <m:ctrlPr>
              <w:rPr>
                <w:rFonts w:ascii="Cambria Math" w:hAnsi="Cambria Math"/>
              </w:rPr>
            </m:ctrlPr>
          </m:sSubPr>
          <m:e>
            <m:r>
              <m:rPr/>
              <w:rPr>
                <w:rFonts w:ascii="Cambria Math" w:hAnsi="Cambria Math"/>
              </w:rPr>
              <m:t>J</m:t>
            </m:r>
            <m:ctrlPr>
              <w:rPr>
                <w:rFonts w:ascii="Cambria Math" w:hAnsi="Cambria Math"/>
              </w:rPr>
            </m:ctrlPr>
          </m:e>
          <m:sub>
            <m:r>
              <m:rPr/>
              <w:rPr>
                <w:rFonts w:ascii="Cambria Math" w:hAnsi="Cambria Math"/>
              </w:rPr>
              <m:t>s</m:t>
            </m:r>
            <m:ctrlPr>
              <w:rPr>
                <w:rFonts w:ascii="Cambria Math" w:hAnsi="Cambria Math"/>
              </w:rPr>
            </m:ctrlPr>
          </m:sub>
        </m:sSub>
      </m:oMath>
      <w:r>
        <w:rPr>
          <w:rFonts w:cs="Times New Roman"/>
          <w:vanish/>
          <w:sz w:val="2"/>
        </w:rPr>
        <w:t>[AxMath LaTeX: J_s]</w:t>
      </w:r>
      <w:r>
        <w:rPr>
          <w:rFonts w:cs="Times New Roman"/>
        </w:rPr>
        <w:t xml:space="preserve">。若候选权重 </w:t>
      </w:r>
      <m:oMath>
        <m:r>
          <m:rPr>
            <m:sty m:val="bi"/>
          </m:rPr>
          <w:rPr>
            <w:rFonts w:ascii="Cambria Math" w:hAnsi="Cambria Math"/>
          </w:rPr>
          <m:t>w</m:t>
        </m:r>
      </m:oMath>
      <w:r>
        <w:rPr>
          <w:rFonts w:cs="Times New Roman"/>
          <w:vanish/>
          <w:sz w:val="2"/>
        </w:rPr>
        <w:t>[AxMath LaTeX: \boldsymbol{w}]</w:t>
      </w:r>
      <w:r>
        <w:rPr>
          <w:rFonts w:cs="Times New Roman"/>
        </w:rPr>
        <w:t xml:space="preserve"> 对每个学院和每项约束均满足规定方向，则属于共同可行域：</w:t>
      </w:r>
    </w:p>
    <w:p w14:paraId="4C96D8F7">
      <w:pPr>
        <w:pStyle w:val="167"/>
        <w:tabs>
          <w:tab w:val="center" w:pos="4479"/>
          <w:tab w:val="right" w:pos="8957"/>
        </w:tabs>
        <w:ind w:left="0" w:right="0"/>
        <w:jc w:val="left"/>
      </w:pPr>
      <w:r>
        <w:tab/>
      </w:r>
      <m:oMath>
        <m:sSub>
          <m:sSubPr/>
          <m:e>
            <m:r>
              <m:rPr>
                <m:scr m:val="script"/>
              </m:rPr>
              <m:t>ℱ</m:t>
            </m:r>
          </m:e>
          <m:sub>
            <m:r>
              <m:rPr/>
              <m:t>s</m:t>
            </m:r>
          </m:sub>
        </m:sSub>
        <m:r>
          <m:rPr/>
          <m:t>=</m:t>
        </m:r>
        <m:d>
          <m:dPr>
            <m:begChr m:val="{"/>
            <m:endChr m:val="}"/>
          </m:dPr>
          <m:e>
            <m:r>
              <m:rPr>
                <m:sty m:val="bi"/>
              </m:rPr>
              <m:t>w</m:t>
            </m:r>
            <m:r>
              <m:rPr/>
              <m:t>∈Ω:</m:t>
            </m:r>
            <m:r>
              <m:rPr>
                <m:sty m:val="p"/>
              </m:rPr>
              <m:t> </m:t>
            </m:r>
            <m:sSub>
              <m:sSubPr/>
              <m:e>
                <m:r>
                  <m:rPr/>
                  <m:t>g</m:t>
                </m:r>
              </m:e>
              <m:sub>
                <m:r>
                  <m:rPr/>
                  <m:t>cjs</m:t>
                </m:r>
              </m:sub>
            </m:sSub>
            <m:r>
              <m:rPr/>
              <m:t>(</m:t>
            </m:r>
            <m:r>
              <m:rPr>
                <m:sty m:val="bi"/>
              </m:rPr>
              <m:t>w</m:t>
            </m:r>
            <m:r>
              <m:rPr/>
              <m:t>)≤0,</m:t>
            </m:r>
            <m:r>
              <m:rPr>
                <m:sty m:val="p"/>
              </m:rPr>
              <m:t> </m:t>
            </m:r>
            <m:r>
              <m:rPr/>
              <m:t>∀c∈C,</m:t>
            </m:r>
            <m:r>
              <m:rPr>
                <m:sty m:val="p"/>
              </m:rPr>
              <m:t> </m:t>
            </m:r>
            <m:r>
              <m:rPr/>
              <m:t>∀j∈</m:t>
            </m:r>
            <m:sSub>
              <m:sSubPr/>
              <m:e>
                <m:r>
                  <m:rPr/>
                  <m:t>J</m:t>
                </m:r>
              </m:e>
              <m:sub>
                <m:r>
                  <m:rPr/>
                  <m:t>s</m:t>
                </m:r>
              </m:sub>
            </m:sSub>
          </m:e>
        </m:d>
      </m:oMath>
      <w:r>
        <w:rPr>
          <w:rFonts w:ascii="Times New Roman" w:hAnsi="Times New Roman" w:cs="Times New Roman"/>
        </w:rPr>
        <w:tab/>
      </w:r>
      <w:r>
        <w:rPr>
          <w:rFonts w:ascii="Times New Roman" w:hAnsi="Times New Roman" w:cs="Times New Roman"/>
        </w:rPr>
        <w:t>(3-9)</w:t>
      </w:r>
      <w:r>
        <w:rPr>
          <w:rFonts w:ascii="Times New Roman" w:hAnsi="Times New Roman" w:cs="Times New Roman"/>
          <w:vanish/>
          <w:sz w:val="2"/>
        </w:rPr>
        <w:t>[AxMath LaTeX: \mathcal{F}_s=\left\{\boldsymbol{w}\in\Omega:\ g_{cjs}(\boldsymbol{w})\leq0,\ \forall c\in C,\ \forall j\in J_s\right\} \tag{3-9}]</w:t>
      </w:r>
    </w:p>
    <w:p w14:paraId="5ACFFD2F">
      <w:r>
        <w:rPr>
          <w:rFonts w:cs="Times New Roman"/>
        </w:rPr>
        <w:t>共同可行要求同一套制度同时通过相应证据口径中的全部组别约束。</w:t>
      </w:r>
      <m:oMath>
        <m:sSub>
          <m:sSubPr>
            <m:ctrlPr>
              <w:rPr>
                <w:rFonts w:ascii="Cambria Math" w:hAnsi="Cambria Math"/>
              </w:rPr>
            </m:ctrlPr>
          </m:sSubPr>
          <m:e>
            <m:r>
              <m:rPr>
                <m:scr m:val="script"/>
              </m:rPr>
              <w:rPr>
                <w:rFonts w:ascii="Cambria Math" w:hAnsi="Cambria Math"/>
              </w:rPr>
              <m:t>ℱ</m:t>
            </m:r>
            <m:ctrlPr>
              <w:rPr>
                <w:rFonts w:ascii="Cambria Math" w:hAnsi="Cambria Math"/>
              </w:rPr>
            </m:ctrlPr>
          </m:e>
          <m:sub>
            <m:r>
              <m:rPr/>
              <w:rPr>
                <w:rFonts w:ascii="Cambria Math" w:hAnsi="Cambria Math"/>
              </w:rPr>
              <m:t>s</m:t>
            </m:r>
            <m:ctrlPr>
              <w:rPr>
                <w:rFonts w:ascii="Cambria Math" w:hAnsi="Cambria Math"/>
              </w:rPr>
            </m:ctrlPr>
          </m:sub>
        </m:sSub>
        <m:r>
          <m:rPr/>
          <w:rPr>
            <w:rFonts w:ascii="Cambria Math" w:hAnsi="Cambria Math"/>
          </w:rPr>
          <m:t>=∅</m:t>
        </m:r>
      </m:oMath>
      <w:r>
        <w:rPr>
          <w:rFonts w:cs="Times New Roman"/>
          <w:vanish/>
          <w:sz w:val="2"/>
        </w:rPr>
        <w:t>[AxMath LaTeX: \mathcal{F}_s=\varnothing]</w:t>
      </w:r>
      <w:r>
        <w:rPr>
          <w:rFonts w:cs="Times New Roman"/>
        </w:rPr>
        <w:t xml:space="preserve"> 只说明当前候选空间、固定成绩反事实和预设阈值不能同时满足，不等于所有权重调整均不可行，也不等于某一学院应对无解承担因果责任。</w:t>
      </w:r>
    </w:p>
    <w:p w14:paraId="16735D15">
      <w:r>
        <w:rPr>
          <w:rFonts w:cs="Times New Roman"/>
        </w:rPr>
        <w:t>评价约束还保留两类非智育功能诊断。近同分区分保留比比较候选与现行规则在智育差距不超过1分的学生对中产生的逆转率；分项贡献保留比比较加权贡献的标准差：</w:t>
      </w:r>
    </w:p>
    <w:p w14:paraId="62C6AFAA">
      <w:pPr>
        <w:pStyle w:val="167"/>
        <w:tabs>
          <w:tab w:val="center" w:pos="4479"/>
          <w:tab w:val="right" w:pos="8957"/>
        </w:tabs>
        <w:ind w:left="0" w:right="0"/>
        <w:jc w:val="left"/>
      </w:pPr>
      <w:r>
        <w:tab/>
      </w:r>
      <m:oMath>
        <m:r>
          <m:rPr/>
          <m:t>C</m:t>
        </m:r>
        <m:sSub>
          <m:sSubPr/>
          <m:e>
            <m:r>
              <m:rPr/>
              <m:t>R</m:t>
            </m:r>
          </m:e>
          <m:sub>
            <m:r>
              <m:rPr/>
              <m:t>0−1,c</m:t>
            </m:r>
          </m:sub>
        </m:sSub>
        <m:r>
          <m:rPr/>
          <m:t>=</m:t>
        </m:r>
        <m:f>
          <m:fPr/>
          <m:num>
            <m:sSub>
              <m:sSubPr/>
              <m:e>
                <m:r>
                  <m:rPr/>
                  <m:t>R</m:t>
                </m:r>
              </m:e>
              <m:sub>
                <m:r>
                  <m:rPr/>
                  <m:t>0−1,c</m:t>
                </m:r>
              </m:sub>
            </m:sSub>
            <m:r>
              <m:rPr/>
              <m:t>(x)</m:t>
            </m:r>
          </m:num>
          <m:den>
            <m:sSub>
              <m:sSubPr/>
              <m:e>
                <m:r>
                  <m:rPr/>
                  <m:t>R</m:t>
                </m:r>
              </m:e>
              <m:sub>
                <m:r>
                  <m:rPr/>
                  <m:t>0−1,c</m:t>
                </m:r>
              </m:sub>
            </m:sSub>
            <m:r>
              <m:rPr/>
              <m:t>(0)</m:t>
            </m:r>
          </m:den>
        </m:f>
        <m:r>
          <m:rPr/>
          <m:t>,D</m:t>
        </m:r>
        <m:sSub>
          <m:sSubPr/>
          <m:e>
            <m:r>
              <m:rPr/>
              <m:t>R</m:t>
            </m:r>
          </m:e>
          <m:sub>
            <m:r>
              <m:rPr/>
              <m:t>D,c</m:t>
            </m:r>
          </m:sub>
        </m:sSub>
        <m:r>
          <m:rPr/>
          <m:t>=</m:t>
        </m:r>
        <m:f>
          <m:fPr/>
          <m:num>
            <m:sSub>
              <m:sSubPr/>
              <m:e>
                <m:r>
                  <m:rPr/>
                  <m:t>sd</m:t>
                </m:r>
              </m:e>
              <m:sub>
                <m:r>
                  <m:rPr/>
                  <m:t>c</m:t>
                </m:r>
              </m:sub>
            </m:sSub>
            <m:r>
              <m:rPr/>
              <m:t>(</m:t>
            </m:r>
            <m:sSub>
              <m:sSubPr/>
              <m:e>
                <m:r>
                  <m:rPr/>
                  <m:t>N</m:t>
                </m:r>
              </m:e>
              <m:sub>
                <m:r>
                  <m:rPr/>
                  <m:t>D</m:t>
                </m:r>
              </m:sub>
            </m:sSub>
            <m:r>
              <m:rPr/>
              <m:t>(x))</m:t>
            </m:r>
          </m:num>
          <m:den>
            <m:sSub>
              <m:sSubPr/>
              <m:e>
                <m:r>
                  <m:rPr/>
                  <m:t>sd</m:t>
                </m:r>
              </m:e>
              <m:sub>
                <m:r>
                  <m:rPr/>
                  <m:t>c</m:t>
                </m:r>
              </m:sub>
            </m:sSub>
            <m:r>
              <m:rPr/>
              <m:t>(</m:t>
            </m:r>
            <m:sSub>
              <m:sSubPr/>
              <m:e>
                <m:r>
                  <m:rPr/>
                  <m:t>N</m:t>
                </m:r>
              </m:e>
              <m:sub>
                <m:r>
                  <m:rPr/>
                  <m:t>D</m:t>
                </m:r>
              </m:sub>
            </m:sSub>
            <m:r>
              <m:rPr/>
              <m:t>(0))</m:t>
            </m:r>
          </m:den>
        </m:f>
        <m:r>
          <m:rPr/>
          <m:t>.</m:t>
        </m:r>
      </m:oMath>
      <w:r>
        <w:rPr>
          <w:rFonts w:ascii="Times New Roman" w:hAnsi="Times New Roman" w:cs="Times New Roman"/>
        </w:rPr>
        <w:tab/>
      </w:r>
      <w:r>
        <w:rPr>
          <w:rFonts w:ascii="Times New Roman" w:hAnsi="Times New Roman" w:cs="Times New Roman"/>
        </w:rPr>
        <w:t>(3-10)</w:t>
      </w:r>
      <w:r>
        <w:rPr>
          <w:rFonts w:ascii="Times New Roman" w:hAnsi="Times New Roman" w:cs="Times New Roman"/>
          <w:vanish/>
          <w:sz w:val="2"/>
        </w:rPr>
        <w:t>[AxMath LaTeX: CR_{0-1,c}=\frac{R_{0-1,c}(x)}{R_{0-1,c}(0)},\qquad DR_{D,c}=\frac{\operatorname{sd}_c(N_D(x))}{\operatorname{sd}_c(N_D(0))}. \tag{3-10}]</w:t>
      </w:r>
    </w:p>
    <w:p w14:paraId="73ADEEB3">
      <w:r>
        <w:rPr>
          <w:rFonts w:cs="Times New Roman"/>
        </w:rPr>
        <w:t>发展素质的贡献保留比同理定义。分母为零时记为NA。近同分区分保留比衡量既有次序区分的保留程度，不是学生发展达标率；贡献标准差衡量分项分值的离散幅度，不是对实际名次贡献的因果识别。线性规则下贡献分别为德育、发展素质制度分与对应权重的乘积；门槛规则下该诊断不包含资格排除效应，封顶规则下分项拆分采用同比分摊约定，不能当作唯一归因。</w:t>
      </w:r>
    </w:p>
    <w:p w14:paraId="72AB3BBD">
      <w:pPr>
        <w:pStyle w:val="4"/>
      </w:pPr>
      <w:bookmarkStart w:id="20" w:name="_Toc240540902"/>
      <w:r>
        <w:rPr>
          <w:rFonts w:ascii="Times New Roman" w:hAnsi="Times New Roman" w:eastAsia="黑体" w:cs="Times New Roman"/>
        </w:rPr>
        <w:t>3.8 多目标优化与Pareto判定</w:t>
      </w:r>
      <w:bookmarkEnd w:id="20"/>
    </w:p>
    <w:p w14:paraId="2E1FC576">
      <w:r>
        <w:rPr>
          <w:rFonts w:cs="Times New Roman"/>
        </w:rPr>
        <w:t xml:space="preserve">多个评价目标之间不存在经验证的统一货币化尺度，本文不构造人为加权总分。学院差异化比较在相应合法样本集合内采用以下六维目标；非线性比较另纳入资格排除率，具体向量见第8章。设候选 </w:t>
      </w:r>
      <m:oMath>
        <m:r>
          <m:rPr/>
          <w:rPr>
            <w:rFonts w:ascii="Cambria Math" w:hAnsi="Cambria Math"/>
          </w:rPr>
          <m:t>x</m:t>
        </m:r>
      </m:oMath>
      <w:r>
        <w:rPr>
          <w:rFonts w:cs="Times New Roman"/>
          <w:vanish/>
          <w:sz w:val="2"/>
        </w:rPr>
        <w:t>[AxMath LaTeX: x]</w:t>
      </w:r>
      <w:r>
        <w:rPr>
          <w:rFonts w:cs="Times New Roman"/>
        </w:rPr>
        <w:t xml:space="preserve"> 的目标向量为：</w:t>
      </w:r>
    </w:p>
    <w:p w14:paraId="13E706D4">
      <w:pPr>
        <w:pStyle w:val="167"/>
        <w:tabs>
          <w:tab w:val="center" w:pos="4479"/>
          <w:tab w:val="right" w:pos="8957"/>
        </w:tabs>
        <w:ind w:left="0" w:right="0"/>
        <w:jc w:val="left"/>
      </w:pPr>
      <w:r>
        <w:tab/>
      </w:r>
      <m:oMath>
        <m:r>
          <m:rPr>
            <m:sty m:val="bi"/>
          </m:rPr>
          <m:t>f</m:t>
        </m:r>
        <m:r>
          <m:rPr/>
          <m:t>(x)=</m:t>
        </m:r>
        <m:d>
          <m:dPr/>
          <m:e>
            <m:sSub>
              <m:sSubPr/>
              <m:e>
                <m:r>
                  <m:rPr/>
                  <m:t>Δ</m:t>
                </m:r>
              </m:e>
              <m:sub>
                <m:r>
                  <m:rPr/>
                  <m:t>α</m:t>
                </m:r>
              </m:sub>
            </m:sSub>
            <m:r>
              <m:rPr/>
              <m:t>,</m:t>
            </m:r>
            <m:sSub>
              <m:sSubPr/>
              <m:e>
                <m:r>
                  <m:rPr/>
                  <m:t>Δ</m:t>
                </m:r>
              </m:e>
              <m:sub>
                <m:r>
                  <m:rPr/>
                  <m:t>β</m:t>
                </m:r>
              </m:sub>
            </m:sSub>
            <m:r>
              <m:rPr/>
              <m:t>,</m:t>
            </m:r>
            <m:sSubSup>
              <m:sSubSupPr/>
              <m:e>
                <m:r>
                  <m:rPr/>
                  <m:t>R</m:t>
                </m:r>
              </m:e>
              <m:sub>
                <m:r>
                  <m:rPr/>
                  <m:t>5−10</m:t>
                </m:r>
              </m:sub>
              <m:sup>
                <m:r>
                  <m:rPr/>
                  <m:t>max</m:t>
                </m:r>
              </m:sup>
            </m:sSubSup>
            <m:r>
              <m:rPr/>
              <m:t>,</m:t>
            </m:r>
            <m:sSubSup>
              <m:sSubSupPr/>
              <m:e>
                <m:r>
                  <m:rPr/>
                  <m:t>X</m:t>
                </m:r>
              </m:e>
              <m:sub>
                <m:r>
                  <m:rPr/>
                  <m:t>20</m:t>
                </m:r>
              </m:sub>
              <m:sup>
                <m:r>
                  <m:rPr/>
                  <m:t>max</m:t>
                </m:r>
              </m:sup>
            </m:sSubSup>
            <m:r>
              <m:rPr/>
              <m:t>,1−</m:t>
            </m:r>
            <m:sSub>
              <m:sSubPr/>
              <m:e>
                <m:r>
                  <m:rPr/>
                  <m:t>K</m:t>
                </m:r>
              </m:e>
              <m:sub>
                <m:r>
                  <m:rPr/>
                  <m:t>20,min</m:t>
                </m:r>
              </m:sub>
            </m:sSub>
            <m:r>
              <m:rPr/>
              <m:t>,</m:t>
            </m:r>
            <m:sSubSup>
              <m:sSubSupPr/>
              <m:e>
                <m:r>
                  <m:rPr/>
                  <m:t>L</m:t>
                </m:r>
              </m:e>
              <m:sub>
                <m:r>
                  <m:rPr/>
                  <m:t>20</m:t>
                </m:r>
              </m:sub>
              <m:sup>
                <m:r>
                  <m:rPr/>
                  <m:t>max</m:t>
                </m:r>
              </m:sup>
            </m:sSubSup>
          </m:e>
        </m:d>
      </m:oMath>
      <w:r>
        <w:rPr>
          <w:rFonts w:ascii="Times New Roman" w:hAnsi="Times New Roman" w:cs="Times New Roman"/>
        </w:rPr>
        <w:tab/>
      </w:r>
      <w:r>
        <w:rPr>
          <w:rFonts w:ascii="Times New Roman" w:hAnsi="Times New Roman" w:cs="Times New Roman"/>
        </w:rPr>
        <w:t>(3-11)</w:t>
      </w:r>
      <w:r>
        <w:rPr>
          <w:rFonts w:ascii="Times New Roman" w:hAnsi="Times New Roman" w:cs="Times New Roman"/>
          <w:vanish/>
          <w:sz w:val="2"/>
        </w:rPr>
        <w:t>[AxMath LaTeX: \boldsymbol{f}(x)=\left(\Delta_\alpha,\Delta_\beta,R_{5-10}^{\max},X_{20}^{\max},1-K_{20,\min},L_{20}^{\max}\right) \tag{3-11}]</w:t>
      </w:r>
    </w:p>
    <w:p w14:paraId="150B83B6">
      <w:r>
        <w:rPr>
          <w:rFonts w:cs="Times New Roman"/>
        </w:rPr>
        <w:t xml:space="preserve">若候选 </w:t>
      </w:r>
      <m:oMath>
        <m:r>
          <m:rPr/>
          <w:rPr>
            <w:rFonts w:ascii="Cambria Math" w:hAnsi="Cambria Math"/>
          </w:rPr>
          <m:t>x</m:t>
        </m:r>
      </m:oMath>
      <w:r>
        <w:rPr>
          <w:rFonts w:cs="Times New Roman"/>
          <w:vanish/>
          <w:sz w:val="2"/>
        </w:rPr>
        <w:t>[AxMath LaTeX: x]</w:t>
      </w:r>
      <w:r>
        <w:rPr>
          <w:rFonts w:cs="Times New Roman"/>
        </w:rPr>
        <w:t xml:space="preserve"> 在所有目标上不差于 </w:t>
      </w:r>
      <m:oMath>
        <m:r>
          <m:rPr/>
          <w:rPr>
            <w:rFonts w:ascii="Cambria Math" w:hAnsi="Cambria Math"/>
          </w:rPr>
          <m:t>y</m:t>
        </m:r>
      </m:oMath>
      <w:r>
        <w:rPr>
          <w:rFonts w:cs="Times New Roman"/>
          <w:vanish/>
          <w:sz w:val="2"/>
        </w:rPr>
        <w:t>[AxMath LaTeX: y]</w:t>
      </w:r>
      <w:r>
        <w:rPr>
          <w:rFonts w:cs="Times New Roman"/>
        </w:rPr>
        <w:t xml:space="preserve">，且至少一项目标严格更好，则 </w:t>
      </w:r>
      <m:oMath>
        <m:r>
          <m:rPr/>
          <w:rPr>
            <w:rFonts w:ascii="Cambria Math" w:hAnsi="Cambria Math"/>
          </w:rPr>
          <m:t>x</m:t>
        </m:r>
      </m:oMath>
      <w:r>
        <w:rPr>
          <w:rFonts w:cs="Times New Roman"/>
          <w:vanish/>
          <w:sz w:val="2"/>
        </w:rPr>
        <w:t>[AxMath LaTeX: x]</w:t>
      </w:r>
      <w:r>
        <w:rPr>
          <w:rFonts w:cs="Times New Roman"/>
        </w:rPr>
        <w:t xml:space="preserve"> 支配 </w:t>
      </w:r>
      <m:oMath>
        <m:r>
          <m:rPr/>
          <w:rPr>
            <w:rFonts w:ascii="Cambria Math" w:hAnsi="Cambria Math"/>
          </w:rPr>
          <m:t>y</m:t>
        </m:r>
      </m:oMath>
      <w:r>
        <w:rPr>
          <w:rFonts w:cs="Times New Roman"/>
          <w:vanish/>
          <w:sz w:val="2"/>
        </w:rPr>
        <w:t>[AxMath LaTeX: y]</w:t>
      </w:r>
      <w:r>
        <w:rPr>
          <w:rFonts w:cs="Times New Roman"/>
        </w:rPr>
        <w:t>：</w:t>
      </w:r>
    </w:p>
    <w:p w14:paraId="75C8A785">
      <w:pPr>
        <w:pStyle w:val="167"/>
        <w:tabs>
          <w:tab w:val="center" w:pos="4479"/>
          <w:tab w:val="right" w:pos="8957"/>
        </w:tabs>
        <w:ind w:left="0" w:right="0"/>
        <w:jc w:val="left"/>
      </w:pPr>
      <w:r>
        <w:tab/>
      </w:r>
      <m:oMath>
        <m:r>
          <m:rPr/>
          <m:t>x≺y⟺</m:t>
        </m:r>
        <m:d>
          <m:dPr>
            <m:begChr m:val="["/>
            <m:endChr m:val="]"/>
          </m:dPr>
          <m:e>
            <m:r>
              <m:rPr/>
              <m:t>∀m,</m:t>
            </m:r>
            <m:sSub>
              <m:sSubPr/>
              <m:e>
                <m:r>
                  <m:rPr/>
                  <m:t>f</m:t>
                </m:r>
              </m:e>
              <m:sub>
                <m:r>
                  <m:rPr/>
                  <m:t>m</m:t>
                </m:r>
              </m:sub>
            </m:sSub>
            <m:r>
              <m:rPr/>
              <m:t>(x)≤</m:t>
            </m:r>
            <m:sSub>
              <m:sSubPr/>
              <m:e>
                <m:r>
                  <m:rPr/>
                  <m:t>f</m:t>
                </m:r>
              </m:e>
              <m:sub>
                <m:r>
                  <m:rPr/>
                  <m:t>m</m:t>
                </m:r>
              </m:sub>
            </m:sSub>
            <m:r>
              <m:rPr/>
              <m:t>(y)</m:t>
            </m:r>
          </m:e>
        </m:d>
        <m:r>
          <m:rPr/>
          <m:t>∧</m:t>
        </m:r>
        <m:d>
          <m:dPr>
            <m:begChr m:val="["/>
            <m:endChr m:val="]"/>
          </m:dPr>
          <m:e>
            <m:r>
              <m:rPr/>
              <m:t>∃m,</m:t>
            </m:r>
            <m:sSub>
              <m:sSubPr/>
              <m:e>
                <m:r>
                  <m:rPr/>
                  <m:t>f</m:t>
                </m:r>
              </m:e>
              <m:sub>
                <m:r>
                  <m:rPr/>
                  <m:t>m</m:t>
                </m:r>
              </m:sub>
            </m:sSub>
            <m:r>
              <m:rPr/>
              <m:t>(x)&lt;</m:t>
            </m:r>
            <m:sSub>
              <m:sSubPr/>
              <m:e>
                <m:r>
                  <m:rPr/>
                  <m:t>f</m:t>
                </m:r>
              </m:e>
              <m:sub>
                <m:r>
                  <m:rPr/>
                  <m:t>m</m:t>
                </m:r>
              </m:sub>
            </m:sSub>
            <m:r>
              <m:rPr/>
              <m:t>(y)</m:t>
            </m:r>
          </m:e>
        </m:d>
      </m:oMath>
      <w:r>
        <w:rPr>
          <w:rFonts w:ascii="Times New Roman" w:hAnsi="Times New Roman" w:cs="Times New Roman"/>
        </w:rPr>
        <w:tab/>
      </w:r>
      <w:r>
        <w:rPr>
          <w:rFonts w:ascii="Times New Roman" w:hAnsi="Times New Roman" w:cs="Times New Roman"/>
        </w:rPr>
        <w:t>(3-12)</w:t>
      </w:r>
      <w:r>
        <w:rPr>
          <w:rFonts w:ascii="Times New Roman" w:hAnsi="Times New Roman" w:cs="Times New Roman"/>
          <w:vanish/>
          <w:sz w:val="2"/>
        </w:rPr>
        <w:t>[AxMath LaTeX: x\prec y\iff \left[\forall m, f_m(x)\leq f_m(y)\right]\land \left[\exists m, f_m(x)&lt;f_m(y)\right] \tag{3-12}]</w:t>
      </w:r>
    </w:p>
    <w:p w14:paraId="0CA5DB6D">
      <w:r>
        <w:rPr>
          <w:rFonts w:cs="Times New Roman"/>
        </w:rPr>
        <w:t xml:space="preserve">计算实现采用固定容差 </w:t>
      </w:r>
      <m:oMath>
        <m:r>
          <m:rPr/>
          <w:rPr>
            <w:rFonts w:ascii="Cambria Math" w:hAnsi="Cambria Math"/>
          </w:rPr>
          <m:t>ε=</m:t>
        </m:r>
        <m:sSup>
          <m:sSupPr>
            <m:ctrlPr>
              <w:rPr>
                <w:rFonts w:ascii="Cambria Math" w:hAnsi="Cambria Math"/>
              </w:rPr>
            </m:ctrlPr>
          </m:sSupPr>
          <m:e>
            <m:r>
              <m:rPr/>
              <w:rPr>
                <w:rFonts w:ascii="Cambria Math" w:hAnsi="Cambria Math"/>
              </w:rPr>
              <m:t>10</m:t>
            </m:r>
            <m:ctrlPr>
              <w:rPr>
                <w:rFonts w:ascii="Cambria Math" w:hAnsi="Cambria Math"/>
              </w:rPr>
            </m:ctrlPr>
          </m:e>
          <m:sup>
            <m:r>
              <m:rPr/>
              <w:rPr>
                <w:rFonts w:ascii="Cambria Math" w:hAnsi="Cambria Math"/>
              </w:rPr>
              <m:t>−10</m:t>
            </m:r>
            <m:ctrlPr>
              <w:rPr>
                <w:rFonts w:ascii="Cambria Math" w:hAnsi="Cambria Math"/>
              </w:rPr>
            </m:ctrlPr>
          </m:sup>
        </m:sSup>
      </m:oMath>
      <w:r>
        <w:rPr>
          <w:rFonts w:cs="Times New Roman"/>
          <w:vanish/>
          <w:sz w:val="2"/>
        </w:rPr>
        <w:t>[AxMath LaTeX: \varepsilon=10^{-10}]</w:t>
      </w:r>
      <w:r>
        <w:rPr>
          <w:rFonts w:cs="Times New Roman"/>
        </w:rPr>
        <w:t>：各目标不超过对照值加容差，且至少一个目标低于对照值减容差，才判定支配。未被其他候选支配者构成Pareto集合。Pareto只排除数值上可被全面替代的方案，不提供价值权衡，也不自动把不可行诊断候选转化为政策候选。</w:t>
      </w:r>
    </w:p>
    <w:p w14:paraId="1236D56D">
      <w:pPr>
        <w:pStyle w:val="3"/>
      </w:pPr>
      <w:bookmarkStart w:id="21" w:name="_Toc240540903"/>
      <w:r>
        <w:rPr>
          <w:rFonts w:ascii="Times New Roman" w:hAnsi="Times New Roman" w:eastAsia="黑体" w:cs="Times New Roman"/>
        </w:rPr>
        <w:t>4 现行综合评价制度的排序效应</w:t>
      </w:r>
      <w:bookmarkEnd w:id="21"/>
    </w:p>
    <w:p w14:paraId="5CA66487">
      <w:pPr>
        <w:pStyle w:val="4"/>
      </w:pPr>
      <w:bookmarkStart w:id="22" w:name="_Toc240540904"/>
      <w:r>
        <w:rPr>
          <w:rFonts w:ascii="Times New Roman" w:hAnsi="Times New Roman" w:eastAsia="黑体" w:cs="Times New Roman"/>
        </w:rPr>
        <w:t>4.1 指标分布与有效影响</w:t>
      </w:r>
      <w:bookmarkEnd w:id="22"/>
    </w:p>
    <w:p w14:paraId="766B7624">
      <w:r>
        <w:rPr>
          <w:rFonts w:cs="Times New Roman"/>
        </w:rPr>
        <w:t>三项制度分统一到百分制后，学院间仍保留项目构成、离散程度、封顶和相关结构差异。线性加权中的实际排序作用取决于“权重×分布”，同一名义权重在不同学院不会自动产生相同名次变化。因此，本章不以跨学院均值评价学生表现，而考察现行规则在各合法组别内部形成的次序和名单变化。</w:t>
      </w:r>
    </w:p>
    <w:p w14:paraId="13A040E3">
      <w:pPr>
        <w:pStyle w:val="4"/>
      </w:pPr>
      <w:bookmarkStart w:id="23" w:name="_Toc240540905"/>
      <w:r>
        <w:rPr>
          <w:rFonts w:ascii="Times New Roman" w:hAnsi="Times New Roman" w:eastAsia="黑体" w:cs="Times New Roman"/>
        </w:rPr>
        <w:t>4.2 排名位移与排序一致性</w:t>
      </w:r>
      <w:bookmarkEnd w:id="23"/>
    </w:p>
    <w:p w14:paraId="05E5F70C">
      <w:r>
        <w:rPr>
          <w:rFonts w:cs="Times New Roman"/>
        </w:rPr>
        <w:t>Strict样本的平均标准化排名位移为8.77%，Extended为8.77%。二者接近，说明加入生科5个有效专业单元没有改变总体位移量级。数信观察名单内部位移为22.30%，但该数值只描述216条可用记录内部的排序敏感性，不代表数信学院完整母集。</w:t>
      </w:r>
    </w:p>
    <w:p w14:paraId="62432BC6">
      <w:pPr>
        <w:pStyle w:val="4"/>
      </w:pPr>
      <w:bookmarkStart w:id="24" w:name="_Toc240540906"/>
      <w:r>
        <w:rPr>
          <w:rFonts w:ascii="Times New Roman" w:hAnsi="Times New Roman" w:eastAsia="黑体" w:cs="Times New Roman"/>
        </w:rPr>
        <w:t>4.3 学业次序逆转</w:t>
      </w:r>
      <w:bookmarkEnd w:id="24"/>
    </w:p>
    <w:p w14:paraId="45F32F69">
      <w:r>
        <w:rPr>
          <w:rFonts w:cs="Times New Roman"/>
        </w:rPr>
        <w:t>Strict共有238,750个智育严格不等的可比学生对，其中28,245对在现行综合成绩下发生严格逆转，总体逆转率为11.83%；5—10分区间有55,171个可比对和6,207个逆转对，逆转率为11.25%。Extended共有250,930个严格可比对，总体与5—10分逆转率分别为11.81%和11.27%。</w:t>
      </w:r>
    </w:p>
    <w:p w14:paraId="1D6E98E0">
      <w:pPr>
        <w:pStyle w:val="15"/>
        <w:keepNext/>
      </w:pPr>
      <w:r>
        <w:t xml:space="preserve">表 </w:t>
      </w:r>
      <w:r>
        <w:rPr>
          <w:rFonts w:cs="Times New Roman"/>
        </w:rPr>
        <w:fldChar w:fldCharType="begin"/>
      </w:r>
      <w:r>
        <w:rPr>
          <w:rFonts w:cs="Times New Roman"/>
        </w:rPr>
        <w:instrText xml:space="preserve">SEQ Table \* ARABIC</w:instrText>
      </w:r>
      <w:r>
        <w:rPr>
          <w:rFonts w:cs="Times New Roman"/>
        </w:rPr>
        <w:fldChar w:fldCharType="separate"/>
      </w:r>
      <w:r>
        <w:rPr>
          <w:rFonts w:cs="Times New Roman"/>
        </w:rPr>
        <w:t>2</w:t>
      </w:r>
      <w:r>
        <w:rPr>
          <w:rFonts w:cs="Times New Roman"/>
        </w:rPr>
        <w:fldChar w:fldCharType="end"/>
      </w:r>
      <w:r>
        <w:rPr>
          <w:rFonts w:cs="Times New Roman"/>
        </w:rPr>
        <w:t xml:space="preserve"> 现行排序效应的组别比较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9"/>
        <w:gridCol w:w="2239"/>
        <w:gridCol w:w="2239"/>
        <w:gridCol w:w="2239"/>
      </w:tblGrid>
      <w:tr w14:paraId="6A4D456A">
        <w:trPr>
          <w:jc w:val="center"/>
        </w:trPr>
        <w:tc>
          <w:tcPr>
            <w:tcW w:w="2239" w:type="dxa"/>
            <w:shd w:val="clear" w:color="auto" w:fill="D9EAF2"/>
            <w:vAlign w:val="center"/>
          </w:tcPr>
          <w:p w14:paraId="36EB9906">
            <w:pPr>
              <w:spacing w:line="276" w:lineRule="auto"/>
              <w:ind w:firstLine="0"/>
              <w:jc w:val="center"/>
            </w:pPr>
            <w:r>
              <w:rPr>
                <w:rFonts w:cs="Times New Roman"/>
                <w:b/>
                <w:sz w:val="19"/>
              </w:rPr>
              <w:t>组别</w:t>
            </w:r>
          </w:p>
        </w:tc>
        <w:tc>
          <w:tcPr>
            <w:tcW w:w="2239" w:type="dxa"/>
            <w:shd w:val="clear" w:color="auto" w:fill="D9EAF2"/>
            <w:vAlign w:val="center"/>
          </w:tcPr>
          <w:p w14:paraId="075A583F">
            <w:pPr>
              <w:spacing w:line="276" w:lineRule="auto"/>
              <w:ind w:firstLine="0"/>
              <w:jc w:val="center"/>
            </w:pPr>
            <w:r>
              <w:rPr>
                <w:rFonts w:cs="Times New Roman"/>
                <w:b/>
                <w:sz w:val="19"/>
              </w:rPr>
              <w:t>总体严格逆转率</w:t>
            </w:r>
          </w:p>
        </w:tc>
        <w:tc>
          <w:tcPr>
            <w:tcW w:w="2239" w:type="dxa"/>
            <w:shd w:val="clear" w:color="auto" w:fill="D9EAF2"/>
            <w:vAlign w:val="center"/>
          </w:tcPr>
          <w:p w14:paraId="2FF80CEE">
            <w:pPr>
              <w:spacing w:line="276" w:lineRule="auto"/>
              <w:ind w:firstLine="0"/>
              <w:jc w:val="center"/>
            </w:pPr>
            <w:r>
              <w:rPr>
                <w:rFonts w:cs="Times New Roman"/>
                <w:b/>
                <w:sz w:val="19"/>
              </w:rPr>
              <w:t>5—10分逆转率</w:t>
            </w:r>
          </w:p>
        </w:tc>
        <w:tc>
          <w:tcPr>
            <w:tcW w:w="2239" w:type="dxa"/>
            <w:shd w:val="clear" w:color="auto" w:fill="D9EAF2"/>
            <w:vAlign w:val="center"/>
          </w:tcPr>
          <w:p w14:paraId="5A14C819">
            <w:pPr>
              <w:spacing w:line="276" w:lineRule="auto"/>
              <w:ind w:firstLine="0"/>
              <w:jc w:val="center"/>
            </w:pPr>
            <w:r>
              <w:rPr>
                <w:rFonts w:cs="Times New Roman"/>
                <w:b/>
                <w:sz w:val="19"/>
              </w:rPr>
              <w:t>智育Top20流失率</w:t>
            </w:r>
          </w:p>
        </w:tc>
      </w:tr>
      <w:tr w14:paraId="06EE0DE1">
        <w:trPr>
          <w:jc w:val="center"/>
        </w:trPr>
        <w:tc>
          <w:tcPr>
            <w:tcW w:w="2239" w:type="dxa"/>
            <w:vAlign w:val="center"/>
          </w:tcPr>
          <w:p w14:paraId="316CE7A6">
            <w:pPr>
              <w:spacing w:line="276" w:lineRule="auto"/>
              <w:ind w:firstLine="0"/>
              <w:jc w:val="left"/>
            </w:pPr>
            <w:r>
              <w:rPr>
                <w:rFonts w:cs="Times New Roman"/>
                <w:sz w:val="19"/>
              </w:rPr>
              <w:t>化工</w:t>
            </w:r>
          </w:p>
        </w:tc>
        <w:tc>
          <w:tcPr>
            <w:tcW w:w="2239" w:type="dxa"/>
            <w:vAlign w:val="center"/>
          </w:tcPr>
          <w:p w14:paraId="39FF939C">
            <w:pPr>
              <w:spacing w:line="276" w:lineRule="auto"/>
              <w:ind w:firstLine="0"/>
              <w:jc w:val="left"/>
            </w:pPr>
            <w:r>
              <w:rPr>
                <w:rFonts w:cs="Times New Roman"/>
                <w:sz w:val="19"/>
              </w:rPr>
              <w:t>10.45%</w:t>
            </w:r>
          </w:p>
        </w:tc>
        <w:tc>
          <w:tcPr>
            <w:tcW w:w="2239" w:type="dxa"/>
            <w:vAlign w:val="center"/>
          </w:tcPr>
          <w:p w14:paraId="1CCEAC61">
            <w:pPr>
              <w:spacing w:line="276" w:lineRule="auto"/>
              <w:ind w:firstLine="0"/>
              <w:jc w:val="left"/>
            </w:pPr>
            <w:r>
              <w:rPr>
                <w:rFonts w:cs="Times New Roman"/>
                <w:sz w:val="19"/>
              </w:rPr>
              <w:t>11.35%</w:t>
            </w:r>
          </w:p>
        </w:tc>
        <w:tc>
          <w:tcPr>
            <w:tcW w:w="2239" w:type="dxa"/>
            <w:vAlign w:val="center"/>
          </w:tcPr>
          <w:p w14:paraId="3FB7BD83">
            <w:pPr>
              <w:spacing w:line="276" w:lineRule="auto"/>
              <w:ind w:firstLine="0"/>
              <w:jc w:val="left"/>
            </w:pPr>
            <w:r>
              <w:rPr>
                <w:rFonts w:cs="Times New Roman"/>
                <w:sz w:val="19"/>
              </w:rPr>
              <w:t>20.72%</w:t>
            </w:r>
          </w:p>
        </w:tc>
      </w:tr>
      <w:tr w14:paraId="3B1BCC01">
        <w:trPr>
          <w:jc w:val="center"/>
        </w:trPr>
        <w:tc>
          <w:tcPr>
            <w:tcW w:w="2239" w:type="dxa"/>
            <w:vAlign w:val="center"/>
          </w:tcPr>
          <w:p w14:paraId="7597288F">
            <w:pPr>
              <w:spacing w:line="276" w:lineRule="auto"/>
              <w:ind w:firstLine="0"/>
              <w:jc w:val="left"/>
            </w:pPr>
            <w:r>
              <w:rPr>
                <w:rFonts w:cs="Times New Roman"/>
                <w:sz w:val="19"/>
              </w:rPr>
              <w:t>法学院</w:t>
            </w:r>
          </w:p>
        </w:tc>
        <w:tc>
          <w:tcPr>
            <w:tcW w:w="2239" w:type="dxa"/>
            <w:vAlign w:val="center"/>
          </w:tcPr>
          <w:p w14:paraId="42FBDC27">
            <w:pPr>
              <w:spacing w:line="276" w:lineRule="auto"/>
              <w:ind w:firstLine="0"/>
              <w:jc w:val="left"/>
            </w:pPr>
            <w:r>
              <w:rPr>
                <w:rFonts w:cs="Times New Roman"/>
                <w:sz w:val="19"/>
              </w:rPr>
              <w:t>13.94%</w:t>
            </w:r>
          </w:p>
        </w:tc>
        <w:tc>
          <w:tcPr>
            <w:tcW w:w="2239" w:type="dxa"/>
            <w:vAlign w:val="center"/>
          </w:tcPr>
          <w:p w14:paraId="533994B7">
            <w:pPr>
              <w:spacing w:line="276" w:lineRule="auto"/>
              <w:ind w:firstLine="0"/>
              <w:jc w:val="left"/>
            </w:pPr>
            <w:r>
              <w:rPr>
                <w:rFonts w:cs="Times New Roman"/>
                <w:sz w:val="19"/>
              </w:rPr>
              <w:t>10.81%</w:t>
            </w:r>
          </w:p>
        </w:tc>
        <w:tc>
          <w:tcPr>
            <w:tcW w:w="2239" w:type="dxa"/>
            <w:vAlign w:val="center"/>
          </w:tcPr>
          <w:p w14:paraId="630B146F">
            <w:pPr>
              <w:spacing w:line="276" w:lineRule="auto"/>
              <w:ind w:firstLine="0"/>
              <w:jc w:val="left"/>
            </w:pPr>
            <w:r>
              <w:rPr>
                <w:rFonts w:cs="Times New Roman"/>
                <w:sz w:val="19"/>
              </w:rPr>
              <w:t>30.38%</w:t>
            </w:r>
          </w:p>
        </w:tc>
      </w:tr>
      <w:tr w14:paraId="6CDABED8">
        <w:trPr>
          <w:jc w:val="center"/>
        </w:trPr>
        <w:tc>
          <w:tcPr>
            <w:tcW w:w="2239" w:type="dxa"/>
            <w:vAlign w:val="center"/>
          </w:tcPr>
          <w:p w14:paraId="346E087F">
            <w:pPr>
              <w:spacing w:line="276" w:lineRule="auto"/>
              <w:ind w:firstLine="0"/>
              <w:jc w:val="left"/>
            </w:pPr>
            <w:r>
              <w:rPr>
                <w:rFonts w:cs="Times New Roman"/>
                <w:sz w:val="19"/>
              </w:rPr>
              <w:t>计算机</w:t>
            </w:r>
          </w:p>
        </w:tc>
        <w:tc>
          <w:tcPr>
            <w:tcW w:w="2239" w:type="dxa"/>
            <w:vAlign w:val="center"/>
          </w:tcPr>
          <w:p w14:paraId="7C48CA92">
            <w:pPr>
              <w:spacing w:line="276" w:lineRule="auto"/>
              <w:ind w:firstLine="0"/>
              <w:jc w:val="left"/>
            </w:pPr>
            <w:r>
              <w:rPr>
                <w:rFonts w:cs="Times New Roman"/>
                <w:sz w:val="19"/>
              </w:rPr>
              <w:t>10.45%</w:t>
            </w:r>
          </w:p>
        </w:tc>
        <w:tc>
          <w:tcPr>
            <w:tcW w:w="2239" w:type="dxa"/>
            <w:vAlign w:val="center"/>
          </w:tcPr>
          <w:p w14:paraId="0F904C76">
            <w:pPr>
              <w:spacing w:line="276" w:lineRule="auto"/>
              <w:ind w:firstLine="0"/>
              <w:jc w:val="left"/>
            </w:pPr>
            <w:r>
              <w:rPr>
                <w:rFonts w:cs="Times New Roman"/>
                <w:sz w:val="19"/>
              </w:rPr>
              <w:t>11.93%</w:t>
            </w:r>
          </w:p>
        </w:tc>
        <w:tc>
          <w:tcPr>
            <w:tcW w:w="2239" w:type="dxa"/>
            <w:vAlign w:val="center"/>
          </w:tcPr>
          <w:p w14:paraId="2DD20371">
            <w:pPr>
              <w:spacing w:line="276" w:lineRule="auto"/>
              <w:ind w:firstLine="0"/>
              <w:jc w:val="left"/>
            </w:pPr>
            <w:r>
              <w:rPr>
                <w:rFonts w:cs="Times New Roman"/>
                <w:sz w:val="19"/>
              </w:rPr>
              <w:t>24.20%</w:t>
            </w:r>
          </w:p>
        </w:tc>
      </w:tr>
      <w:tr w14:paraId="3C83B99F">
        <w:trPr>
          <w:jc w:val="center"/>
        </w:trPr>
        <w:tc>
          <w:tcPr>
            <w:tcW w:w="2239" w:type="dxa"/>
            <w:vAlign w:val="center"/>
          </w:tcPr>
          <w:p w14:paraId="1ED85889">
            <w:pPr>
              <w:spacing w:line="276" w:lineRule="auto"/>
              <w:ind w:firstLine="0"/>
              <w:jc w:val="left"/>
            </w:pPr>
            <w:r>
              <w:rPr>
                <w:rFonts w:cs="Times New Roman"/>
                <w:sz w:val="19"/>
              </w:rPr>
              <w:t>生科5个有效单元</w:t>
            </w:r>
          </w:p>
        </w:tc>
        <w:tc>
          <w:tcPr>
            <w:tcW w:w="2239" w:type="dxa"/>
            <w:vAlign w:val="center"/>
          </w:tcPr>
          <w:p w14:paraId="6CC9412E">
            <w:pPr>
              <w:spacing w:line="276" w:lineRule="auto"/>
              <w:ind w:firstLine="0"/>
              <w:jc w:val="left"/>
            </w:pPr>
            <w:r>
              <w:rPr>
                <w:rFonts w:cs="Times New Roman"/>
                <w:sz w:val="19"/>
              </w:rPr>
              <w:t>11.35%</w:t>
            </w:r>
          </w:p>
        </w:tc>
        <w:tc>
          <w:tcPr>
            <w:tcW w:w="2239" w:type="dxa"/>
            <w:vAlign w:val="center"/>
          </w:tcPr>
          <w:p w14:paraId="7FD67180">
            <w:pPr>
              <w:spacing w:line="276" w:lineRule="auto"/>
              <w:ind w:firstLine="0"/>
              <w:jc w:val="left"/>
            </w:pPr>
            <w:r>
              <w:rPr>
                <w:rFonts w:cs="Times New Roman"/>
                <w:sz w:val="19"/>
              </w:rPr>
              <w:t>11.65%</w:t>
            </w:r>
          </w:p>
        </w:tc>
        <w:tc>
          <w:tcPr>
            <w:tcW w:w="2239" w:type="dxa"/>
            <w:vAlign w:val="center"/>
          </w:tcPr>
          <w:p w14:paraId="60CD3C00">
            <w:pPr>
              <w:spacing w:line="276" w:lineRule="auto"/>
              <w:ind w:firstLine="0"/>
              <w:jc w:val="left"/>
            </w:pPr>
            <w:r>
              <w:rPr>
                <w:rFonts w:cs="Times New Roman"/>
                <w:sz w:val="19"/>
              </w:rPr>
              <w:t>32.86%</w:t>
            </w:r>
          </w:p>
        </w:tc>
      </w:tr>
    </w:tbl>
    <w:p w14:paraId="2474D8A3"/>
    <w:p w14:paraId="31A7B0D2">
      <w:r>
        <w:rPr>
          <w:rFonts w:cs="Times New Roman"/>
        </w:rPr>
        <w:t>Strict三个学院均出现非零逆转，且5—10分区间的逆转并未消失。法学院总体逆转率最高，而计算机的5—10分逆转率更高，说明“整体次序变化”和“中等学业差距变化”不是同一排序。生科有效单元的Top20流失率高于Strict各学院，故Extended主要改变头部名单最坏值，而没有改变总体逆转方向。</w:t>
      </w:r>
    </w:p>
    <w:p w14:paraId="09372655">
      <w:pPr>
        <w:keepNext/>
        <w:ind w:firstLine="0"/>
        <w:jc w:val="center"/>
      </w:pPr>
      <w:r>
        <w:drawing>
          <wp:inline distT="0" distB="0" distL="0" distR="0">
            <wp:extent cx="5471795" cy="2197100"/>
            <wp:effectExtent l="0" t="0" r="0" b="0"/>
            <wp:docPr id="2" name="Picture 2" descr="合法样本组别的现行排序效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合法样本组别的现行排序效应"/>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5472000" cy="2197440"/>
                    </a:xfrm>
                    <a:prstGeom prst="rect">
                      <a:avLst/>
                    </a:prstGeom>
                  </pic:spPr>
                </pic:pic>
              </a:graphicData>
            </a:graphic>
          </wp:inline>
        </w:drawing>
      </w:r>
    </w:p>
    <w:p w14:paraId="23C64DA4">
      <w:pPr>
        <w:pStyle w:val="15"/>
      </w:pPr>
      <w:r>
        <w:rPr>
          <w:rFonts w:cs="Times New Roman"/>
        </w:rPr>
        <w:t xml:space="preserve">图 </w:t>
      </w:r>
      <w:r>
        <w:rPr>
          <w:rFonts w:cs="Times New Roman"/>
        </w:rPr>
        <w:fldChar w:fldCharType="begin"/>
      </w:r>
      <w:r>
        <w:rPr>
          <w:rFonts w:cs="Times New Roman"/>
        </w:rPr>
        <w:instrText xml:space="preserve">SEQ Figure \* ARABIC</w:instrText>
      </w:r>
      <w:r>
        <w:rPr>
          <w:rFonts w:cs="Times New Roman"/>
        </w:rPr>
        <w:fldChar w:fldCharType="separate"/>
      </w:r>
      <w:r>
        <w:rPr>
          <w:rFonts w:cs="Times New Roman"/>
        </w:rPr>
        <w:t>2</w:t>
      </w:r>
      <w:r>
        <w:rPr>
          <w:rFonts w:cs="Times New Roman"/>
        </w:rPr>
        <w:fldChar w:fldCharType="end"/>
      </w:r>
      <w:r>
        <w:rPr>
          <w:rFonts w:cs="Times New Roman"/>
        </w:rPr>
        <w:t xml:space="preserve"> 合法样本组别的现行排序效应</w:t>
      </w:r>
    </w:p>
    <w:p w14:paraId="099D605A">
      <w:r>
        <w:rPr>
          <w:rFonts w:cs="Times New Roman"/>
        </w:rPr>
        <w:t>图2进一步显示，严格核心学院和生科有效单元均存在成对逆转与头部集合重构；两种指标的组别排序不同。该差异说明总体相关或单一逆转率不能替代名单分析，也不能仅据某一比例判定制度是否合理。</w:t>
      </w:r>
    </w:p>
    <w:p w14:paraId="75861304">
      <w:pPr>
        <w:pStyle w:val="4"/>
      </w:pPr>
      <w:bookmarkStart w:id="25" w:name="_Toc240540907"/>
      <w:r>
        <w:rPr>
          <w:rFonts w:ascii="Times New Roman" w:hAnsi="Times New Roman" w:eastAsia="黑体" w:cs="Times New Roman"/>
        </w:rPr>
        <w:t>4.4 头部学生集合变化</w:t>
      </w:r>
      <w:bookmarkEnd w:id="25"/>
    </w:p>
    <w:p w14:paraId="339474BE">
      <w:r>
        <w:rPr>
          <w:rFonts w:cs="Times New Roman"/>
        </w:rPr>
        <w:t>Strict的智育Top20流失率为25.41%，即智育前20%集合中约四分之一没有进入现行综评前20%；Extended为26.34%。Top10和Top30也存在集合差异，且截点越靠前，单个成员变动对比例的影响越大。头部集合指标针对有限名额分配，其分母、并列处理和排序单元边界必须与整体逆转分开报告。</w:t>
      </w:r>
    </w:p>
    <w:p w14:paraId="614F7344">
      <w:pPr>
        <w:pStyle w:val="4"/>
      </w:pPr>
      <w:bookmarkStart w:id="26" w:name="_Toc240540908"/>
      <w:r>
        <w:rPr>
          <w:rFonts w:ascii="Times New Roman" w:hAnsi="Times New Roman" w:eastAsia="黑体" w:cs="Times New Roman"/>
        </w:rPr>
        <w:t>4.5 非智育补偿机制</w:t>
      </w:r>
      <w:bookmarkEnd w:id="26"/>
    </w:p>
    <w:p w14:paraId="4005D42A">
      <w:r>
        <w:rPr>
          <w:rFonts w:cs="Times New Roman"/>
        </w:rPr>
        <w:t>现行规则下，Strict综评Top20中有118名学生不属于智育Top20，Extended对应139名。该差集定义为非智育补偿成员，反映现行综合评价对学业名单的扩展。现行规则与自身比较时留存率为1；在反事实规则下，留存率下降表示原有补偿成员退出，而不是德育或发展素质价值被否定。</w:t>
      </w:r>
    </w:p>
    <w:p w14:paraId="3AA92EA4">
      <w:pPr>
        <w:pStyle w:val="4"/>
      </w:pPr>
      <w:bookmarkStart w:id="27" w:name="_Toc240540909"/>
      <w:r>
        <w:rPr>
          <w:rFonts w:ascii="Times New Roman" w:hAnsi="Times New Roman" w:eastAsia="黑体" w:cs="Times New Roman"/>
        </w:rPr>
        <w:t>4.6 跨组异质性</w:t>
      </w:r>
      <w:bookmarkEnd w:id="27"/>
    </w:p>
    <w:p w14:paraId="076F2C30">
      <w:r>
        <w:rPr>
          <w:rFonts w:cs="Times New Roman"/>
        </w:rPr>
        <w:t>学院间差异不能由名义权重单独解释。化工和法学院采用相同75/10/15结构，但总体逆转率相差约3.49个百分点；计算机非智育权重为30%，总体逆转率却与化工接近。现有证据支持“权重作用依赖分布和排序单元”的解释，不支持把某一学院视为无解的单一原因。</w:t>
      </w:r>
    </w:p>
    <w:p w14:paraId="4EFEE269">
      <w:pPr>
        <w:pStyle w:val="4"/>
      </w:pPr>
      <w:bookmarkStart w:id="28" w:name="_Toc240540910"/>
      <w:r>
        <w:rPr>
          <w:rFonts w:ascii="Times New Roman" w:hAnsi="Times New Roman" w:eastAsia="黑体" w:cs="Times New Roman"/>
        </w:rPr>
        <w:t>4.7 本章小结</w:t>
      </w:r>
      <w:bookmarkEnd w:id="28"/>
    </w:p>
    <w:p w14:paraId="2340C018">
      <w:r>
        <w:rPr>
          <w:rFonts w:cs="Times New Roman"/>
        </w:rPr>
        <w:t>在具有完整母集证据的三个核心学院中，现行综合评价对学业次序和头部名单均产生明确重构。加入生科有效单元后，逆转率基本稳定，头部流失最坏值有所上升。数信内部结果保留为辅助观察，不参与学院总体比较。</w:t>
      </w:r>
    </w:p>
    <w:p w14:paraId="06162C6B">
      <w:pPr>
        <w:pStyle w:val="3"/>
      </w:pPr>
      <w:bookmarkStart w:id="29" w:name="_Toc240540911"/>
      <w:r>
        <w:rPr>
          <w:rFonts w:ascii="Times New Roman" w:hAnsi="Times New Roman" w:eastAsia="黑体" w:cs="Times New Roman"/>
        </w:rPr>
        <w:t>5 权重调整的反事实响应</w:t>
      </w:r>
      <w:bookmarkEnd w:id="29"/>
    </w:p>
    <w:p w14:paraId="1BB2B43A">
      <w:pPr>
        <w:pStyle w:val="4"/>
      </w:pPr>
      <w:bookmarkStart w:id="30" w:name="_Toc240540912"/>
      <w:r>
        <w:rPr>
          <w:rFonts w:ascii="Times New Roman" w:hAnsi="Times New Roman" w:eastAsia="黑体" w:cs="Times New Roman"/>
        </w:rPr>
        <w:t>5.1 固定成绩what-if框架</w:t>
      </w:r>
      <w:bookmarkEnd w:id="30"/>
    </w:p>
    <w:p w14:paraId="31B8E71E">
      <w:r>
        <w:rPr>
          <w:rFonts w:cs="Times New Roman"/>
        </w:rPr>
        <w:t xml:space="preserve">反事实分析保持每名学生的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m:t>
            </m:r>
            <m:ctrlPr>
              <w:rPr>
                <w:rFonts w:ascii="Cambria Math" w:hAnsi="Cambria Math"/>
              </w:rPr>
            </m:ctrlPr>
          </m:sub>
        </m:sSub>
      </m:oMath>
      <w:r>
        <w:rPr>
          <w:rFonts w:cs="Times New Roman"/>
          <w:vanish/>
          <w:sz w:val="2"/>
        </w:rPr>
        <w:t>[AxMath LaTeX: A_i]</w:t>
      </w:r>
      <w:r>
        <w:rPr>
          <w:rFonts w:cs="Times New Roman"/>
        </w:rPr>
        <w:t>、</w:t>
      </w:r>
      <m:oMath>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i</m:t>
            </m:r>
            <m:ctrlPr>
              <w:rPr>
                <w:rFonts w:ascii="Cambria Math" w:hAnsi="Cambria Math"/>
              </w:rPr>
            </m:ctrlPr>
          </m:sub>
        </m:sSub>
      </m:oMath>
      <w:r>
        <w:rPr>
          <w:rFonts w:cs="Times New Roman"/>
          <w:vanish/>
          <w:sz w:val="2"/>
        </w:rPr>
        <w:t>[AxMath LaTeX: D_i]</w:t>
      </w:r>
      <w:r>
        <w:rPr>
          <w:rFonts w:cs="Times New Roman"/>
        </w:rPr>
        <w:t xml:space="preserve"> 和 </w:t>
      </w:r>
      <m:oMath>
        <m:sSub>
          <m:sSubPr>
            <m:ctrlPr>
              <w:rPr>
                <w:rFonts w:ascii="Cambria Math" w:hAnsi="Cambria Math"/>
              </w:rPr>
            </m:ctrlPr>
          </m:sSubPr>
          <m:e>
            <m:r>
              <m:rPr/>
              <w:rPr>
                <w:rFonts w:ascii="Cambria Math" w:hAnsi="Cambria Math"/>
              </w:rPr>
              <m:t>E</m:t>
            </m:r>
            <m:ctrlPr>
              <w:rPr>
                <w:rFonts w:ascii="Cambria Math" w:hAnsi="Cambria Math"/>
              </w:rPr>
            </m:ctrlPr>
          </m:e>
          <m:sub>
            <m:r>
              <m:rPr/>
              <w:rPr>
                <w:rFonts w:ascii="Cambria Math" w:hAnsi="Cambria Math"/>
              </w:rPr>
              <m:t>i</m:t>
            </m:r>
            <m:ctrlPr>
              <w:rPr>
                <w:rFonts w:ascii="Cambria Math" w:hAnsi="Cambria Math"/>
              </w:rPr>
            </m:ctrlPr>
          </m:sub>
        </m:sSub>
      </m:oMath>
      <w:r>
        <w:rPr>
          <w:rFonts w:cs="Times New Roman"/>
          <w:vanish/>
          <w:sz w:val="2"/>
        </w:rPr>
        <w:t>[AxMath LaTeX: E_i]</w:t>
      </w:r>
      <w:r>
        <w:rPr>
          <w:rFonts w:cs="Times New Roman"/>
        </w:rPr>
        <w:t xml:space="preserve"> 不变，只改变计分权重，属于确定性what-if分析。它回答同一批成绩在另一计分规则下如何排序，不估计学生面对新规则后的学习、活动选择或申报行为。</w:t>
      </w:r>
    </w:p>
    <w:p w14:paraId="326F8DF5">
      <w:pPr>
        <w:pStyle w:val="4"/>
      </w:pPr>
      <w:bookmarkStart w:id="31" w:name="_Toc240540913"/>
      <w:r>
        <w:rPr>
          <w:rFonts w:ascii="Times New Roman" w:hAnsi="Times New Roman" w:eastAsia="黑体" w:cs="Times New Roman"/>
        </w:rPr>
        <w:t>5.2 不同降权路径</w:t>
      </w:r>
      <w:bookmarkEnd w:id="31"/>
    </w:p>
    <w:p w14:paraId="7CA5C4E5">
      <w:r>
        <w:rPr>
          <w:rFonts w:cs="Times New Roman"/>
        </w:rPr>
        <w:t>既有设计比较仅降低发展素质、仅降低德育、两项均分削减和按原比例同比削减，并沿用原有0.01、0.025、0.05、0.075和0.10档位。各路径把削减的权重转给智育，候选权重仍满足非负与和为1。本文重点报告同比减少2.5和5个百分点，因为两者同时是非线性机制严格支配检验的线性基准。</w:t>
      </w:r>
    </w:p>
    <w:p w14:paraId="7E7F7DAC">
      <w:pPr>
        <w:pStyle w:val="4"/>
      </w:pPr>
      <w:bookmarkStart w:id="32" w:name="_Toc240540914"/>
      <w:r>
        <w:rPr>
          <w:rFonts w:ascii="Times New Roman" w:hAnsi="Times New Roman" w:eastAsia="黑体" w:cs="Times New Roman"/>
        </w:rPr>
        <w:t>5.3 逆转率响应</w:t>
      </w:r>
      <w:bookmarkEnd w:id="32"/>
    </w:p>
    <w:p w14:paraId="7C0532AE">
      <w:pPr>
        <w:pStyle w:val="15"/>
        <w:keepNext/>
      </w:pPr>
      <w:r>
        <w:t xml:space="preserve">表 </w:t>
      </w:r>
      <w:r>
        <w:rPr>
          <w:rFonts w:cs="Times New Roman"/>
        </w:rPr>
        <w:fldChar w:fldCharType="begin"/>
      </w:r>
      <w:r>
        <w:rPr>
          <w:rFonts w:cs="Times New Roman"/>
        </w:rPr>
        <w:instrText xml:space="preserve">SEQ Table \* ARABIC</w:instrText>
      </w:r>
      <w:r>
        <w:rPr>
          <w:rFonts w:cs="Times New Roman"/>
        </w:rPr>
        <w:fldChar w:fldCharType="separate"/>
      </w:r>
      <w:r>
        <w:rPr>
          <w:rFonts w:cs="Times New Roman"/>
        </w:rPr>
        <w:t>3</w:t>
      </w:r>
      <w:r>
        <w:rPr>
          <w:rFonts w:cs="Times New Roman"/>
        </w:rPr>
        <w:fldChar w:fldCharType="end"/>
      </w:r>
      <w:r>
        <w:rPr>
          <w:rFonts w:cs="Times New Roman"/>
        </w:rPr>
        <w:t xml:space="preserve"> 同比降权的排序响应与名单代价</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280"/>
        <w:gridCol w:w="1280"/>
        <w:gridCol w:w="1280"/>
        <w:gridCol w:w="1280"/>
        <w:gridCol w:w="1280"/>
        <w:gridCol w:w="1280"/>
      </w:tblGrid>
      <w:tr w14:paraId="0EC8DA03">
        <w:trPr>
          <w:jc w:val="center"/>
        </w:trPr>
        <w:tc>
          <w:tcPr>
            <w:tcW w:w="1280" w:type="dxa"/>
            <w:shd w:val="clear" w:color="auto" w:fill="D9EAF2"/>
            <w:vAlign w:val="center"/>
          </w:tcPr>
          <w:p w14:paraId="6E763F82">
            <w:pPr>
              <w:spacing w:line="276" w:lineRule="auto"/>
              <w:ind w:firstLine="0"/>
              <w:jc w:val="center"/>
            </w:pPr>
            <w:r>
              <w:rPr>
                <w:rFonts w:cs="Times New Roman"/>
                <w:b/>
                <w:sz w:val="19"/>
              </w:rPr>
              <w:t>口径</w:t>
            </w:r>
          </w:p>
        </w:tc>
        <w:tc>
          <w:tcPr>
            <w:tcW w:w="1280" w:type="dxa"/>
            <w:shd w:val="clear" w:color="auto" w:fill="D9EAF2"/>
            <w:vAlign w:val="center"/>
          </w:tcPr>
          <w:p w14:paraId="496F59A2">
            <w:pPr>
              <w:spacing w:line="276" w:lineRule="auto"/>
              <w:ind w:firstLine="0"/>
              <w:jc w:val="center"/>
            </w:pPr>
            <w:r>
              <w:rPr>
                <w:rFonts w:cs="Times New Roman"/>
                <w:b/>
                <w:sz w:val="19"/>
              </w:rPr>
              <w:t>方案</w:t>
            </w:r>
          </w:p>
        </w:tc>
        <w:tc>
          <w:tcPr>
            <w:tcW w:w="1280" w:type="dxa"/>
            <w:shd w:val="clear" w:color="auto" w:fill="D9EAF2"/>
            <w:vAlign w:val="center"/>
          </w:tcPr>
          <w:p w14:paraId="4FCE7BFC">
            <w:pPr>
              <w:spacing w:line="276" w:lineRule="auto"/>
              <w:ind w:firstLine="0"/>
              <w:jc w:val="center"/>
            </w:pPr>
            <w:r>
              <w:rPr>
                <w:rFonts w:cs="Times New Roman"/>
                <w:b/>
                <w:sz w:val="19"/>
              </w:rPr>
              <w:t>总体逆转率</w:t>
            </w:r>
          </w:p>
        </w:tc>
        <w:tc>
          <w:tcPr>
            <w:tcW w:w="1280" w:type="dxa"/>
            <w:shd w:val="clear" w:color="auto" w:fill="D9EAF2"/>
            <w:vAlign w:val="center"/>
          </w:tcPr>
          <w:p w14:paraId="3F774E1C">
            <w:pPr>
              <w:spacing w:line="276" w:lineRule="auto"/>
              <w:ind w:firstLine="0"/>
              <w:jc w:val="center"/>
            </w:pPr>
            <w:r>
              <w:rPr>
                <w:rFonts w:cs="Times New Roman"/>
                <w:b/>
                <w:sz w:val="19"/>
              </w:rPr>
              <w:t>5—10分逆转率</w:t>
            </w:r>
          </w:p>
        </w:tc>
        <w:tc>
          <w:tcPr>
            <w:tcW w:w="1280" w:type="dxa"/>
            <w:shd w:val="clear" w:color="auto" w:fill="D9EAF2"/>
            <w:vAlign w:val="center"/>
          </w:tcPr>
          <w:p w14:paraId="5EFC60A9">
            <w:pPr>
              <w:spacing w:line="276" w:lineRule="auto"/>
              <w:ind w:firstLine="0"/>
              <w:jc w:val="center"/>
            </w:pPr>
            <w:r>
              <w:rPr>
                <w:rFonts w:cs="Times New Roman"/>
                <w:b/>
                <w:sz w:val="19"/>
              </w:rPr>
              <w:t>Top20流失最坏值</w:t>
            </w:r>
          </w:p>
        </w:tc>
        <w:tc>
          <w:tcPr>
            <w:tcW w:w="1280" w:type="dxa"/>
            <w:shd w:val="clear" w:color="auto" w:fill="D9EAF2"/>
            <w:vAlign w:val="center"/>
          </w:tcPr>
          <w:p w14:paraId="13152118">
            <w:pPr>
              <w:spacing w:line="276" w:lineRule="auto"/>
              <w:ind w:firstLine="0"/>
              <w:jc w:val="center"/>
            </w:pPr>
            <w:r>
              <w:rPr>
                <w:rFonts w:cs="Times New Roman"/>
                <w:b/>
                <w:sz w:val="19"/>
              </w:rPr>
              <w:t>原综评Top20退出最坏值</w:t>
            </w:r>
          </w:p>
        </w:tc>
        <w:tc>
          <w:tcPr>
            <w:tcW w:w="1280" w:type="dxa"/>
            <w:shd w:val="clear" w:color="auto" w:fill="D9EAF2"/>
            <w:vAlign w:val="center"/>
          </w:tcPr>
          <w:p w14:paraId="2CA34633">
            <w:pPr>
              <w:spacing w:line="276" w:lineRule="auto"/>
              <w:ind w:firstLine="0"/>
              <w:jc w:val="center"/>
            </w:pPr>
            <w:r>
              <w:rPr>
                <w:rFonts w:cs="Times New Roman"/>
                <w:b/>
                <w:sz w:val="19"/>
              </w:rPr>
              <w:t>最低补偿留存</w:t>
            </w:r>
          </w:p>
        </w:tc>
      </w:tr>
      <w:tr w14:paraId="063DA672">
        <w:trPr>
          <w:jc w:val="center"/>
        </w:trPr>
        <w:tc>
          <w:tcPr>
            <w:tcW w:w="1280" w:type="dxa"/>
            <w:vAlign w:val="center"/>
          </w:tcPr>
          <w:p w14:paraId="4A606381">
            <w:pPr>
              <w:spacing w:line="276" w:lineRule="auto"/>
              <w:ind w:firstLine="0"/>
              <w:jc w:val="left"/>
            </w:pPr>
            <w:r>
              <w:rPr>
                <w:rFonts w:cs="Times New Roman"/>
                <w:sz w:val="19"/>
              </w:rPr>
              <w:t>Strict</w:t>
            </w:r>
          </w:p>
        </w:tc>
        <w:tc>
          <w:tcPr>
            <w:tcW w:w="1280" w:type="dxa"/>
            <w:vAlign w:val="center"/>
          </w:tcPr>
          <w:p w14:paraId="6ED63177">
            <w:pPr>
              <w:spacing w:line="276" w:lineRule="auto"/>
              <w:ind w:firstLine="0"/>
              <w:jc w:val="left"/>
            </w:pPr>
            <w:r>
              <w:rPr>
                <w:rFonts w:cs="Times New Roman"/>
                <w:sz w:val="19"/>
              </w:rPr>
              <w:t>现行</w:t>
            </w:r>
          </w:p>
        </w:tc>
        <w:tc>
          <w:tcPr>
            <w:tcW w:w="1280" w:type="dxa"/>
            <w:vAlign w:val="center"/>
          </w:tcPr>
          <w:p w14:paraId="2A3487C3">
            <w:pPr>
              <w:spacing w:line="276" w:lineRule="auto"/>
              <w:ind w:firstLine="0"/>
              <w:jc w:val="left"/>
            </w:pPr>
            <w:r>
              <w:rPr>
                <w:rFonts w:cs="Times New Roman"/>
                <w:sz w:val="19"/>
              </w:rPr>
              <w:t>11.83%</w:t>
            </w:r>
          </w:p>
        </w:tc>
        <w:tc>
          <w:tcPr>
            <w:tcW w:w="1280" w:type="dxa"/>
            <w:vAlign w:val="center"/>
          </w:tcPr>
          <w:p w14:paraId="3C48FC1D">
            <w:pPr>
              <w:spacing w:line="276" w:lineRule="auto"/>
              <w:ind w:firstLine="0"/>
              <w:jc w:val="left"/>
            </w:pPr>
            <w:r>
              <w:rPr>
                <w:rFonts w:cs="Times New Roman"/>
                <w:sz w:val="19"/>
              </w:rPr>
              <w:t>11.25%</w:t>
            </w:r>
          </w:p>
        </w:tc>
        <w:tc>
          <w:tcPr>
            <w:tcW w:w="1280" w:type="dxa"/>
            <w:vAlign w:val="center"/>
          </w:tcPr>
          <w:p w14:paraId="56FCA7D2">
            <w:pPr>
              <w:spacing w:line="276" w:lineRule="auto"/>
              <w:ind w:firstLine="0"/>
              <w:jc w:val="left"/>
            </w:pPr>
            <w:r>
              <w:rPr>
                <w:rFonts w:cs="Times New Roman"/>
                <w:sz w:val="19"/>
              </w:rPr>
              <w:t>30.38%</w:t>
            </w:r>
          </w:p>
        </w:tc>
        <w:tc>
          <w:tcPr>
            <w:tcW w:w="1280" w:type="dxa"/>
            <w:vAlign w:val="center"/>
          </w:tcPr>
          <w:p w14:paraId="35BF017A">
            <w:pPr>
              <w:spacing w:line="276" w:lineRule="auto"/>
              <w:ind w:firstLine="0"/>
              <w:jc w:val="left"/>
            </w:pPr>
            <w:r>
              <w:rPr>
                <w:rFonts w:cs="Times New Roman"/>
                <w:sz w:val="19"/>
              </w:rPr>
              <w:t>0</w:t>
            </w:r>
          </w:p>
        </w:tc>
        <w:tc>
          <w:tcPr>
            <w:tcW w:w="1280" w:type="dxa"/>
            <w:vAlign w:val="center"/>
          </w:tcPr>
          <w:p w14:paraId="7BA86528">
            <w:pPr>
              <w:spacing w:line="276" w:lineRule="auto"/>
              <w:ind w:firstLine="0"/>
              <w:jc w:val="left"/>
            </w:pPr>
            <w:r>
              <w:rPr>
                <w:rFonts w:cs="Times New Roman"/>
                <w:sz w:val="19"/>
              </w:rPr>
              <w:t>100.00%</w:t>
            </w:r>
          </w:p>
        </w:tc>
      </w:tr>
      <w:tr w14:paraId="418947A7">
        <w:trPr>
          <w:jc w:val="center"/>
        </w:trPr>
        <w:tc>
          <w:tcPr>
            <w:tcW w:w="1280" w:type="dxa"/>
            <w:vAlign w:val="center"/>
          </w:tcPr>
          <w:p w14:paraId="06272115">
            <w:pPr>
              <w:spacing w:line="276" w:lineRule="auto"/>
              <w:ind w:firstLine="0"/>
              <w:jc w:val="left"/>
            </w:pPr>
            <w:r>
              <w:rPr>
                <w:rFonts w:cs="Times New Roman"/>
                <w:sz w:val="19"/>
              </w:rPr>
              <w:t>Strict</w:t>
            </w:r>
          </w:p>
        </w:tc>
        <w:tc>
          <w:tcPr>
            <w:tcW w:w="1280" w:type="dxa"/>
            <w:vAlign w:val="center"/>
          </w:tcPr>
          <w:p w14:paraId="262CE8EA">
            <w:pPr>
              <w:spacing w:line="276" w:lineRule="auto"/>
              <w:ind w:firstLine="0"/>
              <w:jc w:val="left"/>
            </w:pPr>
            <w:r>
              <w:rPr>
                <w:rFonts w:cs="Times New Roman"/>
                <w:sz w:val="19"/>
              </w:rPr>
              <w:t>减2.5点</w:t>
            </w:r>
          </w:p>
        </w:tc>
        <w:tc>
          <w:tcPr>
            <w:tcW w:w="1280" w:type="dxa"/>
            <w:vAlign w:val="center"/>
          </w:tcPr>
          <w:p w14:paraId="23F01B06">
            <w:pPr>
              <w:spacing w:line="276" w:lineRule="auto"/>
              <w:ind w:firstLine="0"/>
              <w:jc w:val="left"/>
            </w:pPr>
            <w:r>
              <w:rPr>
                <w:rFonts w:cs="Times New Roman"/>
                <w:sz w:val="19"/>
              </w:rPr>
              <w:t>10.94%</w:t>
            </w:r>
          </w:p>
        </w:tc>
        <w:tc>
          <w:tcPr>
            <w:tcW w:w="1280" w:type="dxa"/>
            <w:vAlign w:val="center"/>
          </w:tcPr>
          <w:p w14:paraId="4D4969A1">
            <w:pPr>
              <w:spacing w:line="276" w:lineRule="auto"/>
              <w:ind w:firstLine="0"/>
              <w:jc w:val="left"/>
            </w:pPr>
            <w:r>
              <w:rPr>
                <w:rFonts w:cs="Times New Roman"/>
                <w:sz w:val="19"/>
              </w:rPr>
              <w:t>9.61%</w:t>
            </w:r>
          </w:p>
        </w:tc>
        <w:tc>
          <w:tcPr>
            <w:tcW w:w="1280" w:type="dxa"/>
            <w:vAlign w:val="center"/>
          </w:tcPr>
          <w:p w14:paraId="14662506">
            <w:pPr>
              <w:spacing w:line="276" w:lineRule="auto"/>
              <w:ind w:firstLine="0"/>
              <w:jc w:val="left"/>
            </w:pPr>
            <w:r>
              <w:rPr>
                <w:rFonts w:cs="Times New Roman"/>
                <w:sz w:val="19"/>
              </w:rPr>
              <w:t>29.11%</w:t>
            </w:r>
          </w:p>
        </w:tc>
        <w:tc>
          <w:tcPr>
            <w:tcW w:w="1280" w:type="dxa"/>
            <w:vAlign w:val="center"/>
          </w:tcPr>
          <w:p w14:paraId="2DA7215C">
            <w:pPr>
              <w:spacing w:line="276" w:lineRule="auto"/>
              <w:ind w:firstLine="0"/>
              <w:jc w:val="left"/>
            </w:pPr>
            <w:r>
              <w:rPr>
                <w:rFonts w:cs="Times New Roman"/>
                <w:sz w:val="19"/>
              </w:rPr>
              <w:t>2.70%</w:t>
            </w:r>
          </w:p>
        </w:tc>
        <w:tc>
          <w:tcPr>
            <w:tcW w:w="1280" w:type="dxa"/>
            <w:vAlign w:val="center"/>
          </w:tcPr>
          <w:p w14:paraId="7FB79984">
            <w:pPr>
              <w:spacing w:line="276" w:lineRule="auto"/>
              <w:ind w:firstLine="0"/>
              <w:jc w:val="left"/>
            </w:pPr>
            <w:r>
              <w:rPr>
                <w:rFonts w:cs="Times New Roman"/>
                <w:sz w:val="19"/>
              </w:rPr>
              <w:t>86.96%</w:t>
            </w:r>
          </w:p>
        </w:tc>
      </w:tr>
      <w:tr w14:paraId="6510E4A4">
        <w:trPr>
          <w:jc w:val="center"/>
        </w:trPr>
        <w:tc>
          <w:tcPr>
            <w:tcW w:w="1280" w:type="dxa"/>
            <w:vAlign w:val="center"/>
          </w:tcPr>
          <w:p w14:paraId="4A8E9E52">
            <w:pPr>
              <w:spacing w:line="276" w:lineRule="auto"/>
              <w:ind w:firstLine="0"/>
              <w:jc w:val="left"/>
            </w:pPr>
            <w:r>
              <w:rPr>
                <w:rFonts w:cs="Times New Roman"/>
                <w:sz w:val="19"/>
              </w:rPr>
              <w:t>Strict</w:t>
            </w:r>
          </w:p>
        </w:tc>
        <w:tc>
          <w:tcPr>
            <w:tcW w:w="1280" w:type="dxa"/>
            <w:vAlign w:val="center"/>
          </w:tcPr>
          <w:p w14:paraId="5C5C82A9">
            <w:pPr>
              <w:spacing w:line="276" w:lineRule="auto"/>
              <w:ind w:firstLine="0"/>
              <w:jc w:val="left"/>
            </w:pPr>
            <w:r>
              <w:rPr>
                <w:rFonts w:cs="Times New Roman"/>
                <w:sz w:val="19"/>
              </w:rPr>
              <w:t>减5点</w:t>
            </w:r>
          </w:p>
        </w:tc>
        <w:tc>
          <w:tcPr>
            <w:tcW w:w="1280" w:type="dxa"/>
            <w:vAlign w:val="center"/>
          </w:tcPr>
          <w:p w14:paraId="640D6330">
            <w:pPr>
              <w:spacing w:line="276" w:lineRule="auto"/>
              <w:ind w:firstLine="0"/>
              <w:jc w:val="left"/>
            </w:pPr>
            <w:r>
              <w:rPr>
                <w:rFonts w:cs="Times New Roman"/>
                <w:sz w:val="19"/>
              </w:rPr>
              <w:t>9.96%</w:t>
            </w:r>
          </w:p>
        </w:tc>
        <w:tc>
          <w:tcPr>
            <w:tcW w:w="1280" w:type="dxa"/>
            <w:vAlign w:val="center"/>
          </w:tcPr>
          <w:p w14:paraId="70A30173">
            <w:pPr>
              <w:spacing w:line="276" w:lineRule="auto"/>
              <w:ind w:firstLine="0"/>
              <w:jc w:val="left"/>
            </w:pPr>
            <w:r>
              <w:rPr>
                <w:rFonts w:cs="Times New Roman"/>
                <w:sz w:val="19"/>
              </w:rPr>
              <w:t>7.76%</w:t>
            </w:r>
          </w:p>
        </w:tc>
        <w:tc>
          <w:tcPr>
            <w:tcW w:w="1280" w:type="dxa"/>
            <w:vAlign w:val="center"/>
          </w:tcPr>
          <w:p w14:paraId="387B90E3">
            <w:pPr>
              <w:spacing w:line="276" w:lineRule="auto"/>
              <w:ind w:firstLine="0"/>
              <w:jc w:val="left"/>
            </w:pPr>
            <w:r>
              <w:rPr>
                <w:rFonts w:cs="Times New Roman"/>
                <w:sz w:val="19"/>
              </w:rPr>
              <w:t>28.48%</w:t>
            </w:r>
          </w:p>
        </w:tc>
        <w:tc>
          <w:tcPr>
            <w:tcW w:w="1280" w:type="dxa"/>
            <w:vAlign w:val="center"/>
          </w:tcPr>
          <w:p w14:paraId="777234E5">
            <w:pPr>
              <w:spacing w:line="276" w:lineRule="auto"/>
              <w:ind w:firstLine="0"/>
              <w:jc w:val="left"/>
            </w:pPr>
            <w:r>
              <w:rPr>
                <w:rFonts w:cs="Times New Roman"/>
                <w:sz w:val="19"/>
              </w:rPr>
              <w:t>3.60%</w:t>
            </w:r>
          </w:p>
        </w:tc>
        <w:tc>
          <w:tcPr>
            <w:tcW w:w="1280" w:type="dxa"/>
            <w:vAlign w:val="center"/>
          </w:tcPr>
          <w:p w14:paraId="73642CA0">
            <w:pPr>
              <w:spacing w:line="276" w:lineRule="auto"/>
              <w:ind w:firstLine="0"/>
              <w:jc w:val="left"/>
            </w:pPr>
            <w:r>
              <w:rPr>
                <w:rFonts w:cs="Times New Roman"/>
                <w:sz w:val="19"/>
              </w:rPr>
              <w:t>82.61%</w:t>
            </w:r>
          </w:p>
        </w:tc>
      </w:tr>
      <w:tr w14:paraId="7C198B88">
        <w:trPr>
          <w:jc w:val="center"/>
        </w:trPr>
        <w:tc>
          <w:tcPr>
            <w:tcW w:w="1280" w:type="dxa"/>
            <w:vAlign w:val="center"/>
          </w:tcPr>
          <w:p w14:paraId="542064C8">
            <w:pPr>
              <w:spacing w:line="276" w:lineRule="auto"/>
              <w:ind w:firstLine="0"/>
              <w:jc w:val="left"/>
            </w:pPr>
            <w:r>
              <w:rPr>
                <w:rFonts w:cs="Times New Roman"/>
                <w:sz w:val="19"/>
              </w:rPr>
              <w:t>Extended</w:t>
            </w:r>
          </w:p>
        </w:tc>
        <w:tc>
          <w:tcPr>
            <w:tcW w:w="1280" w:type="dxa"/>
            <w:vAlign w:val="center"/>
          </w:tcPr>
          <w:p w14:paraId="79C73A7F">
            <w:pPr>
              <w:spacing w:line="276" w:lineRule="auto"/>
              <w:ind w:firstLine="0"/>
              <w:jc w:val="left"/>
            </w:pPr>
            <w:r>
              <w:rPr>
                <w:rFonts w:cs="Times New Roman"/>
                <w:sz w:val="19"/>
              </w:rPr>
              <w:t>现行</w:t>
            </w:r>
          </w:p>
        </w:tc>
        <w:tc>
          <w:tcPr>
            <w:tcW w:w="1280" w:type="dxa"/>
            <w:vAlign w:val="center"/>
          </w:tcPr>
          <w:p w14:paraId="6B1C2547">
            <w:pPr>
              <w:spacing w:line="276" w:lineRule="auto"/>
              <w:ind w:firstLine="0"/>
              <w:jc w:val="left"/>
            </w:pPr>
            <w:r>
              <w:rPr>
                <w:rFonts w:cs="Times New Roman"/>
                <w:sz w:val="19"/>
              </w:rPr>
              <w:t>11.81%</w:t>
            </w:r>
          </w:p>
        </w:tc>
        <w:tc>
          <w:tcPr>
            <w:tcW w:w="1280" w:type="dxa"/>
            <w:vAlign w:val="center"/>
          </w:tcPr>
          <w:p w14:paraId="31CEFA79">
            <w:pPr>
              <w:spacing w:line="276" w:lineRule="auto"/>
              <w:ind w:firstLine="0"/>
              <w:jc w:val="left"/>
            </w:pPr>
            <w:r>
              <w:rPr>
                <w:rFonts w:cs="Times New Roman"/>
                <w:sz w:val="19"/>
              </w:rPr>
              <w:t>11.27%</w:t>
            </w:r>
          </w:p>
        </w:tc>
        <w:tc>
          <w:tcPr>
            <w:tcW w:w="1280" w:type="dxa"/>
            <w:vAlign w:val="center"/>
          </w:tcPr>
          <w:p w14:paraId="6C6BBA2A">
            <w:pPr>
              <w:spacing w:line="276" w:lineRule="auto"/>
              <w:ind w:firstLine="0"/>
              <w:jc w:val="left"/>
            </w:pPr>
            <w:r>
              <w:rPr>
                <w:rFonts w:cs="Times New Roman"/>
                <w:sz w:val="19"/>
              </w:rPr>
              <w:t>32.86%</w:t>
            </w:r>
          </w:p>
        </w:tc>
        <w:tc>
          <w:tcPr>
            <w:tcW w:w="1280" w:type="dxa"/>
            <w:vAlign w:val="center"/>
          </w:tcPr>
          <w:p w14:paraId="7BD1BEA9">
            <w:pPr>
              <w:spacing w:line="276" w:lineRule="auto"/>
              <w:ind w:firstLine="0"/>
              <w:jc w:val="left"/>
            </w:pPr>
            <w:r>
              <w:rPr>
                <w:rFonts w:cs="Times New Roman"/>
                <w:sz w:val="19"/>
              </w:rPr>
              <w:t>0</w:t>
            </w:r>
          </w:p>
        </w:tc>
        <w:tc>
          <w:tcPr>
            <w:tcW w:w="1280" w:type="dxa"/>
            <w:vAlign w:val="center"/>
          </w:tcPr>
          <w:p w14:paraId="388C5EB1">
            <w:pPr>
              <w:spacing w:line="276" w:lineRule="auto"/>
              <w:ind w:firstLine="0"/>
              <w:jc w:val="left"/>
            </w:pPr>
            <w:r>
              <w:rPr>
                <w:rFonts w:cs="Times New Roman"/>
                <w:sz w:val="19"/>
              </w:rPr>
              <w:t>100.00%</w:t>
            </w:r>
          </w:p>
        </w:tc>
      </w:tr>
      <w:tr w14:paraId="1A7AE5BA">
        <w:trPr>
          <w:jc w:val="center"/>
        </w:trPr>
        <w:tc>
          <w:tcPr>
            <w:tcW w:w="1280" w:type="dxa"/>
            <w:vAlign w:val="center"/>
          </w:tcPr>
          <w:p w14:paraId="7B0ADB6F">
            <w:pPr>
              <w:spacing w:line="276" w:lineRule="auto"/>
              <w:ind w:firstLine="0"/>
              <w:jc w:val="left"/>
            </w:pPr>
            <w:r>
              <w:rPr>
                <w:rFonts w:cs="Times New Roman"/>
                <w:sz w:val="19"/>
              </w:rPr>
              <w:t>Extended</w:t>
            </w:r>
          </w:p>
        </w:tc>
        <w:tc>
          <w:tcPr>
            <w:tcW w:w="1280" w:type="dxa"/>
            <w:vAlign w:val="center"/>
          </w:tcPr>
          <w:p w14:paraId="6A913B6A">
            <w:pPr>
              <w:spacing w:line="276" w:lineRule="auto"/>
              <w:ind w:firstLine="0"/>
              <w:jc w:val="left"/>
            </w:pPr>
            <w:r>
              <w:rPr>
                <w:rFonts w:cs="Times New Roman"/>
                <w:sz w:val="19"/>
              </w:rPr>
              <w:t>减2.5点</w:t>
            </w:r>
          </w:p>
        </w:tc>
        <w:tc>
          <w:tcPr>
            <w:tcW w:w="1280" w:type="dxa"/>
            <w:vAlign w:val="center"/>
          </w:tcPr>
          <w:p w14:paraId="60A148B8">
            <w:pPr>
              <w:spacing w:line="276" w:lineRule="auto"/>
              <w:ind w:firstLine="0"/>
              <w:jc w:val="left"/>
            </w:pPr>
            <w:r>
              <w:rPr>
                <w:rFonts w:cs="Times New Roman"/>
                <w:sz w:val="19"/>
              </w:rPr>
              <w:t>10.91%</w:t>
            </w:r>
          </w:p>
        </w:tc>
        <w:tc>
          <w:tcPr>
            <w:tcW w:w="1280" w:type="dxa"/>
            <w:vAlign w:val="center"/>
          </w:tcPr>
          <w:p w14:paraId="266F944F">
            <w:pPr>
              <w:spacing w:line="276" w:lineRule="auto"/>
              <w:ind w:firstLine="0"/>
              <w:jc w:val="left"/>
            </w:pPr>
            <w:r>
              <w:rPr>
                <w:rFonts w:cs="Times New Roman"/>
                <w:sz w:val="19"/>
              </w:rPr>
              <w:t>9.63%</w:t>
            </w:r>
          </w:p>
        </w:tc>
        <w:tc>
          <w:tcPr>
            <w:tcW w:w="1280" w:type="dxa"/>
            <w:vAlign w:val="center"/>
          </w:tcPr>
          <w:p w14:paraId="21996FE5">
            <w:pPr>
              <w:spacing w:line="276" w:lineRule="auto"/>
              <w:ind w:firstLine="0"/>
              <w:jc w:val="left"/>
            </w:pPr>
            <w:r>
              <w:rPr>
                <w:rFonts w:cs="Times New Roman"/>
                <w:sz w:val="19"/>
              </w:rPr>
              <w:t>32.86%</w:t>
            </w:r>
          </w:p>
        </w:tc>
        <w:tc>
          <w:tcPr>
            <w:tcW w:w="1280" w:type="dxa"/>
            <w:vAlign w:val="center"/>
          </w:tcPr>
          <w:p w14:paraId="16666BD3">
            <w:pPr>
              <w:spacing w:line="276" w:lineRule="auto"/>
              <w:ind w:firstLine="0"/>
              <w:jc w:val="left"/>
            </w:pPr>
            <w:r>
              <w:rPr>
                <w:rFonts w:cs="Times New Roman"/>
                <w:sz w:val="19"/>
              </w:rPr>
              <w:t>2.70%</w:t>
            </w:r>
          </w:p>
        </w:tc>
        <w:tc>
          <w:tcPr>
            <w:tcW w:w="1280" w:type="dxa"/>
            <w:vAlign w:val="center"/>
          </w:tcPr>
          <w:p w14:paraId="72434A00">
            <w:pPr>
              <w:spacing w:line="276" w:lineRule="auto"/>
              <w:ind w:firstLine="0"/>
              <w:jc w:val="left"/>
            </w:pPr>
            <w:r>
              <w:rPr>
                <w:rFonts w:cs="Times New Roman"/>
                <w:sz w:val="19"/>
              </w:rPr>
              <w:t>86.96%</w:t>
            </w:r>
          </w:p>
        </w:tc>
      </w:tr>
      <w:tr w14:paraId="543CF749">
        <w:trPr>
          <w:jc w:val="center"/>
        </w:trPr>
        <w:tc>
          <w:tcPr>
            <w:tcW w:w="1280" w:type="dxa"/>
            <w:vAlign w:val="center"/>
          </w:tcPr>
          <w:p w14:paraId="77CBD0A2">
            <w:pPr>
              <w:spacing w:line="276" w:lineRule="auto"/>
              <w:ind w:firstLine="0"/>
              <w:jc w:val="left"/>
            </w:pPr>
            <w:r>
              <w:rPr>
                <w:rFonts w:cs="Times New Roman"/>
                <w:sz w:val="19"/>
              </w:rPr>
              <w:t>Extended</w:t>
            </w:r>
          </w:p>
        </w:tc>
        <w:tc>
          <w:tcPr>
            <w:tcW w:w="1280" w:type="dxa"/>
            <w:vAlign w:val="center"/>
          </w:tcPr>
          <w:p w14:paraId="610FBC4E">
            <w:pPr>
              <w:spacing w:line="276" w:lineRule="auto"/>
              <w:ind w:firstLine="0"/>
              <w:jc w:val="left"/>
            </w:pPr>
            <w:r>
              <w:rPr>
                <w:rFonts w:cs="Times New Roman"/>
                <w:sz w:val="19"/>
              </w:rPr>
              <w:t>减5点</w:t>
            </w:r>
          </w:p>
        </w:tc>
        <w:tc>
          <w:tcPr>
            <w:tcW w:w="1280" w:type="dxa"/>
            <w:vAlign w:val="center"/>
          </w:tcPr>
          <w:p w14:paraId="33B7D414">
            <w:pPr>
              <w:spacing w:line="276" w:lineRule="auto"/>
              <w:ind w:firstLine="0"/>
              <w:jc w:val="left"/>
            </w:pPr>
            <w:r>
              <w:rPr>
                <w:rFonts w:cs="Times New Roman"/>
                <w:sz w:val="19"/>
              </w:rPr>
              <w:t>9.93%</w:t>
            </w:r>
          </w:p>
        </w:tc>
        <w:tc>
          <w:tcPr>
            <w:tcW w:w="1280" w:type="dxa"/>
            <w:vAlign w:val="center"/>
          </w:tcPr>
          <w:p w14:paraId="2E4FD1A4">
            <w:pPr>
              <w:spacing w:line="276" w:lineRule="auto"/>
              <w:ind w:firstLine="0"/>
              <w:jc w:val="left"/>
            </w:pPr>
            <w:r>
              <w:rPr>
                <w:rFonts w:cs="Times New Roman"/>
                <w:sz w:val="19"/>
              </w:rPr>
              <w:t>7.78%</w:t>
            </w:r>
          </w:p>
        </w:tc>
        <w:tc>
          <w:tcPr>
            <w:tcW w:w="1280" w:type="dxa"/>
            <w:vAlign w:val="center"/>
          </w:tcPr>
          <w:p w14:paraId="472A5A44">
            <w:pPr>
              <w:spacing w:line="276" w:lineRule="auto"/>
              <w:ind w:firstLine="0"/>
              <w:jc w:val="left"/>
            </w:pPr>
            <w:r>
              <w:rPr>
                <w:rFonts w:cs="Times New Roman"/>
                <w:sz w:val="19"/>
              </w:rPr>
              <w:t>32.86%</w:t>
            </w:r>
          </w:p>
        </w:tc>
        <w:tc>
          <w:tcPr>
            <w:tcW w:w="1280" w:type="dxa"/>
            <w:vAlign w:val="center"/>
          </w:tcPr>
          <w:p w14:paraId="3ED5CCCD">
            <w:pPr>
              <w:spacing w:line="276" w:lineRule="auto"/>
              <w:ind w:firstLine="0"/>
              <w:jc w:val="left"/>
            </w:pPr>
            <w:r>
              <w:rPr>
                <w:rFonts w:cs="Times New Roman"/>
                <w:sz w:val="19"/>
              </w:rPr>
              <w:t>3.60%</w:t>
            </w:r>
          </w:p>
        </w:tc>
        <w:tc>
          <w:tcPr>
            <w:tcW w:w="1280" w:type="dxa"/>
            <w:vAlign w:val="center"/>
          </w:tcPr>
          <w:p w14:paraId="2B1EB61B">
            <w:pPr>
              <w:spacing w:line="276" w:lineRule="auto"/>
              <w:ind w:firstLine="0"/>
              <w:jc w:val="left"/>
            </w:pPr>
            <w:r>
              <w:rPr>
                <w:rFonts w:cs="Times New Roman"/>
                <w:sz w:val="19"/>
              </w:rPr>
              <w:t>82.61%</w:t>
            </w:r>
          </w:p>
        </w:tc>
      </w:tr>
    </w:tbl>
    <w:p w14:paraId="41E77E51"/>
    <w:p w14:paraId="68E5B840">
      <w:r>
        <w:rPr>
          <w:rFonts w:cs="Times New Roman"/>
        </w:rPr>
        <w:t>两种合法口径中，降幅从0增至5个百分点时总体逆转率和5—10分逆转率持续下降，方向一致且量级接近。Extended的Top20流失最坏值不随这两档降权改善，说明整体成对次序向智育靠近，并不保证每个离散头部截点同时改善。</w:t>
      </w:r>
    </w:p>
    <w:p w14:paraId="4FDA4C63">
      <w:pPr>
        <w:keepNext/>
        <w:ind w:firstLine="0"/>
        <w:jc w:val="center"/>
      </w:pPr>
      <w:r>
        <w:drawing>
          <wp:inline distT="0" distB="0" distL="0" distR="0">
            <wp:extent cx="5471795" cy="2197100"/>
            <wp:effectExtent l="0" t="0" r="0" b="0"/>
            <wp:docPr id="3" name="Picture 3" descr="同比降权下的逆转率响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同比降权下的逆转率响应"/>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5472000" cy="2197440"/>
                    </a:xfrm>
                    <a:prstGeom prst="rect">
                      <a:avLst/>
                    </a:prstGeom>
                  </pic:spPr>
                </pic:pic>
              </a:graphicData>
            </a:graphic>
          </wp:inline>
        </w:drawing>
      </w:r>
    </w:p>
    <w:p w14:paraId="04B14357">
      <w:pPr>
        <w:pStyle w:val="15"/>
      </w:pPr>
      <w:r>
        <w:rPr>
          <w:rFonts w:cs="Times New Roman"/>
        </w:rPr>
        <w:t xml:space="preserve">图 </w:t>
      </w:r>
      <w:r>
        <w:rPr>
          <w:rFonts w:cs="Times New Roman"/>
        </w:rPr>
        <w:fldChar w:fldCharType="begin"/>
      </w:r>
      <w:r>
        <w:rPr>
          <w:rFonts w:cs="Times New Roman"/>
        </w:rPr>
        <w:instrText xml:space="preserve">SEQ Figure \* ARABIC</w:instrText>
      </w:r>
      <w:r>
        <w:rPr>
          <w:rFonts w:cs="Times New Roman"/>
        </w:rPr>
        <w:fldChar w:fldCharType="separate"/>
      </w:r>
      <w:r>
        <w:rPr>
          <w:rFonts w:cs="Times New Roman"/>
        </w:rPr>
        <w:t>3</w:t>
      </w:r>
      <w:r>
        <w:rPr>
          <w:rFonts w:cs="Times New Roman"/>
        </w:rPr>
        <w:fldChar w:fldCharType="end"/>
      </w:r>
      <w:r>
        <w:rPr>
          <w:rFonts w:cs="Times New Roman"/>
        </w:rPr>
        <w:t xml:space="preserve"> 同比降权下的逆转率响应</w:t>
      </w:r>
    </w:p>
    <w:p w14:paraId="1F711E20">
      <w:r>
        <w:rPr>
          <w:rFonts w:cs="Times New Roman"/>
        </w:rPr>
        <w:t>图3中的三点是实际计算档位，不是拟合曲线。Strict与Extended轨迹几乎重合，表明加入生科有效单元没有改变简单同比降权的主要方向；两条线的接近也不能替代学院最坏值和名单代价检查。</w:t>
      </w:r>
    </w:p>
    <w:p w14:paraId="519D69F8">
      <w:pPr>
        <w:pStyle w:val="4"/>
      </w:pPr>
      <w:bookmarkStart w:id="33" w:name="_Toc240540915"/>
      <w:r>
        <w:rPr>
          <w:rFonts w:ascii="Times New Roman" w:hAnsi="Times New Roman" w:eastAsia="黑体" w:cs="Times New Roman"/>
        </w:rPr>
        <w:t>5.4 头部稳定性与补偿留存</w:t>
      </w:r>
      <w:bookmarkEnd w:id="33"/>
    </w:p>
    <w:p w14:paraId="1EF73FB7">
      <w:r>
        <w:rPr>
          <w:rFonts w:cs="Times New Roman"/>
        </w:rPr>
        <w:t>同比减少5个百分点时，Strict合并Top20流失率由25.41%降至22.95%，但学院最坏值仍为28.48%；原综评Top20退出的学院最坏值升至3.60%。同一方案的合并补偿留存为88.98%，严格核心最低值为82.61%，最坏组为化工，分子分母为19/23。总体比例与最低组比例含义不同，后续约束采用最低值。</w:t>
      </w:r>
    </w:p>
    <w:p w14:paraId="0E54032F">
      <w:pPr>
        <w:pStyle w:val="4"/>
      </w:pPr>
      <w:bookmarkStart w:id="34" w:name="_Toc240540916"/>
      <w:r>
        <w:rPr>
          <w:rFonts w:ascii="Times New Roman" w:hAnsi="Times New Roman" w:eastAsia="黑体" w:cs="Times New Roman"/>
        </w:rPr>
        <w:t>5.5 比例降权的数学性质</w:t>
      </w:r>
      <w:bookmarkEnd w:id="34"/>
    </w:p>
    <w:p w14:paraId="480AE24A">
      <w:r>
        <w:rPr>
          <w:rFonts w:cs="Times New Roman"/>
        </w:rPr>
        <w:t xml:space="preserve">设现行非智育总权重为 </w:t>
      </w:r>
      <m:oMath>
        <m:r>
          <m:rPr/>
          <w:rPr>
            <w:rFonts w:ascii="Cambria Math" w:hAnsi="Cambria Math"/>
          </w:rPr>
          <m:t>α</m:t>
        </m:r>
      </m:oMath>
      <w:r>
        <w:rPr>
          <w:rFonts w:cs="Times New Roman"/>
          <w:vanish/>
          <w:sz w:val="2"/>
        </w:rPr>
        <w:t>[AxMath LaTeX: \alpha]</w:t>
      </w:r>
      <w:r>
        <w:rPr>
          <w:rFonts w:cs="Times New Roman"/>
        </w:rPr>
        <w:t xml:space="preserve">，同比转移比例为 </w:t>
      </w:r>
      <m:oMath>
        <m:r>
          <m:rPr/>
          <w:rPr>
            <w:rFonts w:ascii="Cambria Math" w:hAnsi="Cambria Math"/>
          </w:rPr>
          <m:t>λ</m:t>
        </m:r>
      </m:oMath>
      <w:r>
        <w:rPr>
          <w:rFonts w:cs="Times New Roman"/>
          <w:vanish/>
          <w:sz w:val="2"/>
        </w:rPr>
        <w:t>[AxMath LaTeX: \lambda]</w:t>
      </w:r>
      <w:r>
        <w:rPr>
          <w:rFonts w:cs="Times New Roman"/>
        </w:rPr>
        <w:t>，则候选综合分满足：</w:t>
      </w:r>
    </w:p>
    <w:p w14:paraId="6497FDE8">
      <w:pPr>
        <w:pStyle w:val="167"/>
        <w:tabs>
          <w:tab w:val="center" w:pos="4479"/>
          <w:tab w:val="right" w:pos="8957"/>
        </w:tabs>
        <w:ind w:left="0" w:right="0"/>
        <w:jc w:val="left"/>
      </w:pPr>
      <w:r>
        <w:tab/>
      </w:r>
      <m:oMath>
        <m:sSubSup>
          <m:sSubSupPr/>
          <m:e>
            <m:r>
              <m:rPr/>
              <m:t>S</m:t>
            </m:r>
          </m:e>
          <m:sub>
            <m:r>
              <m:rPr/>
              <m:t>i</m:t>
            </m:r>
          </m:sub>
          <m:sup>
            <m:r>
              <m:rPr/>
              <m:t>'</m:t>
            </m:r>
          </m:sup>
        </m:sSubSup>
        <m:r>
          <m:rPr/>
          <m:t>=(1−λ)</m:t>
        </m:r>
        <m:sSub>
          <m:sSubPr/>
          <m:e>
            <m:r>
              <m:rPr/>
              <m:t>S</m:t>
            </m:r>
          </m:e>
          <m:sub>
            <m:r>
              <m:rPr/>
              <m:t>i</m:t>
            </m:r>
          </m:sub>
        </m:sSub>
        <m:r>
          <m:rPr/>
          <m:t>+λ</m:t>
        </m:r>
        <m:sSub>
          <m:sSubPr/>
          <m:e>
            <m:r>
              <m:rPr/>
              <m:t>A</m:t>
            </m:r>
          </m:e>
          <m:sub>
            <m:r>
              <m:rPr/>
              <m:t>i</m:t>
            </m:r>
          </m:sub>
        </m:sSub>
        <m:r>
          <m:rPr/>
          <m:t>,0≤λ≤1.</m:t>
        </m:r>
      </m:oMath>
      <w:r>
        <w:rPr>
          <w:rFonts w:ascii="Times New Roman" w:hAnsi="Times New Roman" w:cs="Times New Roman"/>
        </w:rPr>
        <w:tab/>
      </w:r>
      <w:r>
        <w:rPr>
          <w:rFonts w:ascii="Times New Roman" w:hAnsi="Times New Roman" w:cs="Times New Roman"/>
        </w:rPr>
        <w:t>(5-1)</w:t>
      </w:r>
      <w:r>
        <w:rPr>
          <w:rFonts w:ascii="Times New Roman" w:hAnsi="Times New Roman" w:cs="Times New Roman"/>
          <w:vanish/>
          <w:sz w:val="2"/>
        </w:rPr>
        <w:t>[AxMath LaTeX: S_i'=(1-\lambda)S_i+\lambda A_i,\qquad 0\leq\lambda\leq1. \tag{5-1}]</w:t>
      </w:r>
    </w:p>
    <w:p w14:paraId="6476EB00">
      <w:r>
        <w:rPr>
          <w:rFonts w:cs="Times New Roman"/>
        </w:rPr>
        <w:t xml:space="preserve">若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&gt;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j</m:t>
            </m:r>
            <m:ctrlPr>
              <w:rPr>
                <w:rFonts w:ascii="Cambria Math" w:hAnsi="Cambria Math"/>
              </w:rPr>
            </m:ctrlPr>
          </m:sub>
        </m:sSub>
      </m:oMath>
      <w:r>
        <w:rPr>
          <w:rFonts w:cs="Times New Roman"/>
          <w:vanish/>
          <w:sz w:val="2"/>
        </w:rPr>
        <w:t>[AxMath LaTeX: A_i&gt;A_j]</w:t>
      </w:r>
      <w:r>
        <w:rPr>
          <w:rFonts w:cs="Times New Roman"/>
        </w:rPr>
        <w:t xml:space="preserve"> 且 </w:t>
      </w:r>
      <m:oMath>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j</m:t>
            </m:r>
            <m:ctrlPr>
              <w:rPr>
                <w:rFonts w:ascii="Cambria Math" w:hAnsi="Cambria Math"/>
              </w:rPr>
            </m:ctrlPr>
          </m:sub>
        </m:sSub>
      </m:oMath>
      <w:r>
        <w:rPr>
          <w:rFonts w:cs="Times New Roman"/>
          <w:vanish/>
          <w:sz w:val="2"/>
        </w:rPr>
        <w:t>[AxMath LaTeX: S_i\geq S_j]</w:t>
      </w:r>
      <w:r>
        <w:rPr>
          <w:rFonts w:cs="Times New Roman"/>
        </w:rPr>
        <w:t xml:space="preserve">，则当 </w:t>
      </w:r>
      <m:oMath>
        <m:r>
          <m:rPr/>
          <w:rPr>
            <w:rFonts w:ascii="Cambria Math" w:hAnsi="Cambria Math"/>
          </w:rPr>
          <m:t>λ&gt;0</m:t>
        </m:r>
      </m:oMath>
      <w:r>
        <w:rPr>
          <w:rFonts w:cs="Times New Roman"/>
          <w:vanish/>
          <w:sz w:val="2"/>
        </w:rPr>
        <w:t>[AxMath LaTeX: \lambda&gt;0]</w:t>
      </w:r>
      <w:r>
        <w:rPr>
          <w:rFonts w:cs="Times New Roman"/>
        </w:rPr>
        <w:t xml:space="preserve"> 时：</w:t>
      </w:r>
    </w:p>
    <w:p w14:paraId="0C2004B3">
      <w:pPr>
        <w:pStyle w:val="167"/>
        <w:tabs>
          <w:tab w:val="center" w:pos="4479"/>
          <w:tab w:val="right" w:pos="8957"/>
        </w:tabs>
        <w:ind w:left="0" w:right="0"/>
        <w:jc w:val="left"/>
      </w:pPr>
      <w:r>
        <w:tab/>
      </w:r>
      <m:oMath>
        <m:sSubSup>
          <m:sSubSupPr/>
          <m:e>
            <m:r>
              <m:rPr/>
              <m:t>S</m:t>
            </m:r>
          </m:e>
          <m:sub>
            <m:r>
              <m:rPr/>
              <m:t>i</m:t>
            </m:r>
          </m:sub>
          <m:sup>
            <m:r>
              <m:rPr/>
              <m:t>'</m:t>
            </m:r>
          </m:sup>
        </m:sSubSup>
        <m:r>
          <m:rPr/>
          <m:t>−</m:t>
        </m:r>
        <m:sSubSup>
          <m:sSubSupPr/>
          <m:e>
            <m:r>
              <m:rPr/>
              <m:t>S</m:t>
            </m:r>
          </m:e>
          <m:sub>
            <m:r>
              <m:rPr/>
              <m:t>j</m:t>
            </m:r>
          </m:sub>
          <m:sup>
            <m:r>
              <m:rPr/>
              <m:t>'</m:t>
            </m:r>
          </m:sup>
        </m:sSubSup>
        <m:r>
          <m:rPr/>
          <m:t>=(1−λ)(</m:t>
        </m:r>
        <m:sSub>
          <m:sSubPr/>
          <m:e>
            <m:r>
              <m:rPr/>
              <m:t>S</m:t>
            </m:r>
          </m:e>
          <m:sub>
            <m:r>
              <m:rPr/>
              <m:t>i</m:t>
            </m:r>
          </m:sub>
        </m:sSub>
        <m:r>
          <m:rPr/>
          <m:t>−</m:t>
        </m:r>
        <m:sSub>
          <m:sSubPr/>
          <m:e>
            <m:r>
              <m:rPr/>
              <m:t>S</m:t>
            </m:r>
          </m:e>
          <m:sub>
            <m:r>
              <m:rPr/>
              <m:t>j</m:t>
            </m:r>
          </m:sub>
        </m:sSub>
        <m:r>
          <m:rPr/>
          <m:t>)+λ(</m:t>
        </m:r>
        <m:sSub>
          <m:sSubPr/>
          <m:e>
            <m:r>
              <m:rPr/>
              <m:t>A</m:t>
            </m:r>
          </m:e>
          <m:sub>
            <m:r>
              <m:rPr/>
              <m:t>i</m:t>
            </m:r>
          </m:sub>
        </m:sSub>
        <m:r>
          <m:rPr/>
          <m:t>−</m:t>
        </m:r>
        <m:sSub>
          <m:sSubPr/>
          <m:e>
            <m:r>
              <m:rPr/>
              <m:t>A</m:t>
            </m:r>
          </m:e>
          <m:sub>
            <m:r>
              <m:rPr/>
              <m:t>j</m:t>
            </m:r>
          </m:sub>
        </m:sSub>
        <m:r>
          <m:rPr/>
          <m:t>)&gt;0.</m:t>
        </m:r>
      </m:oMath>
      <w:r>
        <w:rPr>
          <w:rFonts w:ascii="Times New Roman" w:hAnsi="Times New Roman" w:cs="Times New Roman"/>
        </w:rPr>
        <w:tab/>
      </w:r>
      <w:r>
        <w:rPr>
          <w:rFonts w:ascii="Times New Roman" w:hAnsi="Times New Roman" w:cs="Times New Roman"/>
        </w:rPr>
        <w:t>(5-2)</w:t>
      </w:r>
      <w:r>
        <w:rPr>
          <w:rFonts w:ascii="Times New Roman" w:hAnsi="Times New Roman" w:cs="Times New Roman"/>
          <w:vanish/>
          <w:sz w:val="2"/>
        </w:rPr>
        <w:t>[AxMath LaTeX: S_i'-S_j'=(1-\lambda)(S_i-S_j)+\lambda(A_i-A_j)&gt;0. \tag{5-2}]</w:t>
      </w:r>
    </w:p>
    <w:p w14:paraId="263EB9A4">
      <w:r>
        <w:rPr>
          <w:rFonts w:cs="Times New Roman"/>
        </w:rPr>
        <w:t>因此，精确同比路径不会把原本未逆转的严格智育学生对变成逆转，已消除的逆转也不会在继续同比转移时重新出现。两套合法样本的实现检查均满足这一性质。该命题针对成对次序，不保证Top-q集合、补偿留存或分项功能同时改善，也不适用于任意非比例路径。</w:t>
      </w:r>
    </w:p>
    <w:p w14:paraId="4F64A125">
      <w:pPr>
        <w:pStyle w:val="4"/>
      </w:pPr>
      <w:bookmarkStart w:id="35" w:name="_Toc240540917"/>
      <w:r>
        <w:rPr>
          <w:rFonts w:ascii="Times New Roman" w:hAnsi="Times New Roman" w:eastAsia="黑体" w:cs="Times New Roman"/>
        </w:rPr>
        <w:t>5.6 本章小结</w:t>
      </w:r>
      <w:bookmarkEnd w:id="35"/>
    </w:p>
    <w:p w14:paraId="6286D6BD">
      <w:r>
        <w:rPr>
          <w:rFonts w:cs="Times New Roman"/>
        </w:rPr>
        <w:t>简单同比降权在Strict与Extended中稳定减少总体和中等分差逆转，同时带来原综评名单退出和最低补偿留存下降。后续可行域分析需要同时约束这些收益与代价，而不能以单一逆转率选择权重。</w:t>
      </w:r>
    </w:p>
    <w:p w14:paraId="69E909BE">
      <w:pPr>
        <w:pStyle w:val="3"/>
      </w:pPr>
      <w:bookmarkStart w:id="36" w:name="_Toc240540918"/>
      <w:r>
        <w:rPr>
          <w:rFonts w:ascii="Times New Roman" w:hAnsi="Times New Roman" w:eastAsia="黑体" w:cs="Times New Roman"/>
        </w:rPr>
        <w:t>6 统一权重的多目标可行域与约束冲突</w:t>
      </w:r>
      <w:bookmarkEnd w:id="36"/>
    </w:p>
    <w:p w14:paraId="2C27AC3F">
      <w:pPr>
        <w:pStyle w:val="4"/>
      </w:pPr>
      <w:bookmarkStart w:id="37" w:name="_Toc240540919"/>
      <w:r>
        <w:rPr>
          <w:rFonts w:ascii="Times New Roman" w:hAnsi="Times New Roman" w:eastAsia="黑体" w:cs="Times New Roman"/>
        </w:rPr>
        <w:t>6.1 权重响应数据库</w:t>
      </w:r>
      <w:bookmarkEnd w:id="37"/>
    </w:p>
    <w:p w14:paraId="0907A7C9">
      <w:r>
        <w:rPr>
          <w:rFonts w:cs="Times New Roman"/>
        </w:rPr>
        <w:t>统一权重响应库沿用原主政策域：</w:t>
      </w:r>
      <m:oMath>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D</m:t>
            </m:r>
            <m:ctrlPr>
              <w:rPr>
                <w:rFonts w:ascii="Cambria Math" w:hAnsi="Cambria Math"/>
              </w:rPr>
            </m:ctrlPr>
          </m:sub>
        </m:sSub>
        <m:r>
          <m:rPr/>
          <w:rPr>
            <w:rFonts w:ascii="Cambria Math" w:hAnsi="Cambria Math"/>
          </w:rPr>
          <m:t>≤0.10</m:t>
        </m:r>
      </m:oMath>
      <w:r>
        <w:rPr>
          <w:rFonts w:cs="Times New Roman"/>
          <w:vanish/>
          <w:sz w:val="2"/>
        </w:rPr>
        <w:t>[AxMath LaTeX: w_D\leq0.10]</w:t>
      </w:r>
      <w:r>
        <w:rPr>
          <w:rFonts w:cs="Times New Roman"/>
        </w:rPr>
        <w:t>、</w:t>
      </w:r>
      <m:oMath>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E</m:t>
            </m:r>
            <m:ctrlPr>
              <w:rPr>
                <w:rFonts w:ascii="Cambria Math" w:hAnsi="Cambria Math"/>
              </w:rPr>
            </m:ctrlPr>
          </m:sub>
        </m:sSub>
        <m:r>
          <m:rPr/>
          <w:rPr>
            <w:rFonts w:ascii="Cambria Math" w:hAnsi="Cambria Math"/>
          </w:rPr>
          <m:t>≤0.15</m:t>
        </m:r>
      </m:oMath>
      <w:r>
        <w:rPr>
          <w:rFonts w:cs="Times New Roman"/>
          <w:vanish/>
          <w:sz w:val="2"/>
        </w:rPr>
        <w:t>[AxMath LaTeX: w_E\leq0.15]</w:t>
      </w:r>
      <w:r>
        <w:rPr>
          <w:rFonts w:cs="Times New Roman"/>
        </w:rPr>
        <w:t>、</w:t>
      </w:r>
      <m:oMath>
        <m:r>
          <m:rPr/>
          <w:rPr>
            <w:rFonts w:ascii="Cambria Math" w:hAnsi="Cambria Math"/>
          </w:rPr>
          <m:t>α≤0.25</m:t>
        </m:r>
      </m:oMath>
      <w:r>
        <w:rPr>
          <w:rFonts w:cs="Times New Roman"/>
          <w:vanish/>
          <w:sz w:val="2"/>
        </w:rPr>
        <w:t>[AxMath LaTeX: \alpha\leq0.25]</w:t>
      </w:r>
      <w:r>
        <w:rPr>
          <w:rFonts w:cs="Times New Roman"/>
        </w:rPr>
        <w:t>，按0.001步长枚举15,251个权重点。每个点分别计算Strict三学院和Extended四个合法组别的指标，再以最大损失或最低留存聚合。候选域、步长和阈值均未因样本变化而调整。</w:t>
      </w:r>
    </w:p>
    <w:p w14:paraId="5ACDED26">
      <w:pPr>
        <w:pStyle w:val="4"/>
      </w:pPr>
      <w:bookmarkStart w:id="38" w:name="_Toc240540920"/>
      <w:r>
        <w:rPr>
          <w:rFonts w:ascii="Times New Roman" w:hAnsi="Times New Roman" w:eastAsia="黑体" w:cs="Times New Roman"/>
        </w:rPr>
        <w:t>6.2 三类研究情景</w:t>
      </w:r>
      <w:bookmarkEnd w:id="38"/>
    </w:p>
    <w:p w14:paraId="290FC3AA">
      <w:pPr>
        <w:pStyle w:val="15"/>
        <w:keepNext/>
      </w:pPr>
      <w:r>
        <w:t xml:space="preserve">表 </w:t>
      </w:r>
      <w:r>
        <w:rPr>
          <w:rFonts w:cs="Times New Roman"/>
        </w:rPr>
        <w:fldChar w:fldCharType="begin"/>
      </w:r>
      <w:r>
        <w:rPr>
          <w:rFonts w:cs="Times New Roman"/>
        </w:rPr>
        <w:instrText xml:space="preserve">SEQ Table \* ARABIC</w:instrText>
      </w:r>
      <w:r>
        <w:rPr>
          <w:rFonts w:cs="Times New Roman"/>
        </w:rPr>
        <w:fldChar w:fldCharType="separate"/>
      </w:r>
      <w:r>
        <w:rPr>
          <w:rFonts w:cs="Times New Roman"/>
        </w:rPr>
        <w:t>4</w:t>
      </w:r>
      <w:r>
        <w:rPr>
          <w:rFonts w:cs="Times New Roman"/>
        </w:rPr>
        <w:fldChar w:fldCharType="end"/>
      </w:r>
      <w:r>
        <w:rPr>
          <w:rFonts w:cs="Times New Roman"/>
        </w:rPr>
        <w:t xml:space="preserve"> 三类研究情景的组别层约束</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9"/>
        <w:gridCol w:w="2239"/>
        <w:gridCol w:w="2239"/>
        <w:gridCol w:w="2239"/>
      </w:tblGrid>
      <w:tr w14:paraId="4046C106">
        <w:trPr>
          <w:jc w:val="center"/>
        </w:trPr>
        <w:tc>
          <w:tcPr>
            <w:tcW w:w="2239" w:type="dxa"/>
            <w:shd w:val="clear" w:color="auto" w:fill="D9EAF2"/>
            <w:vAlign w:val="center"/>
          </w:tcPr>
          <w:p w14:paraId="5CD22A12">
            <w:pPr>
              <w:spacing w:line="276" w:lineRule="auto"/>
              <w:ind w:firstLine="0"/>
              <w:jc w:val="center"/>
            </w:pPr>
            <w:r>
              <w:rPr>
                <w:rFonts w:cs="Times New Roman"/>
                <w:b/>
                <w:sz w:val="19"/>
              </w:rPr>
              <w:t>指标</w:t>
            </w:r>
          </w:p>
        </w:tc>
        <w:tc>
          <w:tcPr>
            <w:tcW w:w="2239" w:type="dxa"/>
            <w:shd w:val="clear" w:color="auto" w:fill="D9EAF2"/>
            <w:vAlign w:val="center"/>
          </w:tcPr>
          <w:p w14:paraId="05A4E22A">
            <w:pPr>
              <w:spacing w:line="276" w:lineRule="auto"/>
              <w:ind w:firstLine="0"/>
              <w:jc w:val="center"/>
            </w:pPr>
            <w:r>
              <w:rPr>
                <w:rFonts w:cs="Times New Roman"/>
                <w:b/>
                <w:sz w:val="19"/>
              </w:rPr>
              <w:t>学业稳定</w:t>
            </w:r>
          </w:p>
        </w:tc>
        <w:tc>
          <w:tcPr>
            <w:tcW w:w="2239" w:type="dxa"/>
            <w:shd w:val="clear" w:color="auto" w:fill="D9EAF2"/>
            <w:vAlign w:val="center"/>
          </w:tcPr>
          <w:p w14:paraId="21850EC5">
            <w:pPr>
              <w:spacing w:line="276" w:lineRule="auto"/>
              <w:ind w:firstLine="0"/>
              <w:jc w:val="center"/>
            </w:pPr>
            <w:r>
              <w:rPr>
                <w:rFonts w:cs="Times New Roman"/>
                <w:b/>
                <w:sz w:val="19"/>
              </w:rPr>
              <w:t>平衡</w:t>
            </w:r>
          </w:p>
        </w:tc>
        <w:tc>
          <w:tcPr>
            <w:tcW w:w="2239" w:type="dxa"/>
            <w:shd w:val="clear" w:color="auto" w:fill="D9EAF2"/>
            <w:vAlign w:val="center"/>
          </w:tcPr>
          <w:p w14:paraId="0894672C">
            <w:pPr>
              <w:spacing w:line="276" w:lineRule="auto"/>
              <w:ind w:firstLine="0"/>
              <w:jc w:val="center"/>
            </w:pPr>
            <w:r>
              <w:rPr>
                <w:rFonts w:cs="Times New Roman"/>
                <w:b/>
                <w:sz w:val="19"/>
              </w:rPr>
              <w:t>全面发展</w:t>
            </w:r>
          </w:p>
        </w:tc>
      </w:tr>
      <w:tr w14:paraId="03E535D7">
        <w:trPr>
          <w:jc w:val="center"/>
        </w:trPr>
        <w:tc>
          <w:tcPr>
            <w:tcW w:w="2239" w:type="dxa"/>
            <w:vAlign w:val="center"/>
          </w:tcPr>
          <w:p w14:paraId="7567EC4D">
            <w:pPr>
              <w:spacing w:line="276" w:lineRule="auto"/>
              <w:ind w:firstLine="0"/>
              <w:jc w:val="left"/>
            </w:pPr>
            <w:r>
              <w:rPr>
                <w:rFonts w:cs="Times New Roman"/>
                <w:sz w:val="19"/>
              </w:rPr>
              <w:t>最低补偿留存下限</w:t>
            </w:r>
          </w:p>
        </w:tc>
        <w:tc>
          <w:tcPr>
            <w:tcW w:w="2239" w:type="dxa"/>
            <w:vAlign w:val="center"/>
          </w:tcPr>
          <w:p w14:paraId="2EE1401B">
            <w:pPr>
              <w:spacing w:line="276" w:lineRule="auto"/>
              <w:ind w:firstLine="0"/>
              <w:jc w:val="left"/>
            </w:pPr>
            <w:r>
              <w:rPr>
                <w:rFonts w:cs="Times New Roman"/>
                <w:sz w:val="19"/>
              </w:rPr>
              <w:t>0.80</w:t>
            </w:r>
          </w:p>
        </w:tc>
        <w:tc>
          <w:tcPr>
            <w:tcW w:w="2239" w:type="dxa"/>
            <w:vAlign w:val="center"/>
          </w:tcPr>
          <w:p w14:paraId="126528A6">
            <w:pPr>
              <w:spacing w:line="276" w:lineRule="auto"/>
              <w:ind w:firstLine="0"/>
              <w:jc w:val="left"/>
            </w:pPr>
            <w:r>
              <w:rPr>
                <w:rFonts w:cs="Times New Roman"/>
                <w:sz w:val="19"/>
              </w:rPr>
              <w:t>0.90</w:t>
            </w:r>
          </w:p>
        </w:tc>
        <w:tc>
          <w:tcPr>
            <w:tcW w:w="2239" w:type="dxa"/>
            <w:vAlign w:val="center"/>
          </w:tcPr>
          <w:p w14:paraId="4DD51DCE">
            <w:pPr>
              <w:spacing w:line="276" w:lineRule="auto"/>
              <w:ind w:firstLine="0"/>
              <w:jc w:val="left"/>
            </w:pPr>
            <w:r>
              <w:rPr>
                <w:rFonts w:cs="Times New Roman"/>
                <w:sz w:val="19"/>
              </w:rPr>
              <w:t>0.95</w:t>
            </w:r>
          </w:p>
        </w:tc>
      </w:tr>
      <w:tr w14:paraId="365342B0">
        <w:trPr>
          <w:jc w:val="center"/>
        </w:trPr>
        <w:tc>
          <w:tcPr>
            <w:tcW w:w="2239" w:type="dxa"/>
            <w:vAlign w:val="center"/>
          </w:tcPr>
          <w:p w14:paraId="0B4F2FF5">
            <w:pPr>
              <w:spacing w:line="276" w:lineRule="auto"/>
              <w:ind w:firstLine="0"/>
              <w:jc w:val="left"/>
            </w:pPr>
            <w:r>
              <w:rPr>
                <w:rFonts w:cs="Times New Roman"/>
                <w:sz w:val="19"/>
              </w:rPr>
              <w:t>原综评Top20退出上限</w:t>
            </w:r>
          </w:p>
        </w:tc>
        <w:tc>
          <w:tcPr>
            <w:tcW w:w="2239" w:type="dxa"/>
            <w:vAlign w:val="center"/>
          </w:tcPr>
          <w:p w14:paraId="77EF7BFA">
            <w:pPr>
              <w:spacing w:line="276" w:lineRule="auto"/>
              <w:ind w:firstLine="0"/>
              <w:jc w:val="left"/>
            </w:pPr>
            <w:r>
              <w:rPr>
                <w:rFonts w:cs="Times New Roman"/>
                <w:sz w:val="19"/>
              </w:rPr>
              <w:t>0.10</w:t>
            </w:r>
          </w:p>
        </w:tc>
        <w:tc>
          <w:tcPr>
            <w:tcW w:w="2239" w:type="dxa"/>
            <w:vAlign w:val="center"/>
          </w:tcPr>
          <w:p w14:paraId="39742BF1">
            <w:pPr>
              <w:spacing w:line="276" w:lineRule="auto"/>
              <w:ind w:firstLine="0"/>
              <w:jc w:val="left"/>
            </w:pPr>
            <w:r>
              <w:rPr>
                <w:rFonts w:cs="Times New Roman"/>
                <w:sz w:val="19"/>
              </w:rPr>
              <w:t>0.05</w:t>
            </w:r>
          </w:p>
        </w:tc>
        <w:tc>
          <w:tcPr>
            <w:tcW w:w="2239" w:type="dxa"/>
            <w:vAlign w:val="center"/>
          </w:tcPr>
          <w:p w14:paraId="38C69BC9">
            <w:pPr>
              <w:spacing w:line="276" w:lineRule="auto"/>
              <w:ind w:firstLine="0"/>
              <w:jc w:val="left"/>
            </w:pPr>
            <w:r>
              <w:rPr>
                <w:rFonts w:cs="Times New Roman"/>
                <w:sz w:val="19"/>
              </w:rPr>
              <w:t>0.05</w:t>
            </w:r>
          </w:p>
        </w:tc>
      </w:tr>
      <w:tr w14:paraId="01330323">
        <w:trPr>
          <w:jc w:val="center"/>
        </w:trPr>
        <w:tc>
          <w:tcPr>
            <w:tcW w:w="2239" w:type="dxa"/>
            <w:vAlign w:val="center"/>
          </w:tcPr>
          <w:p w14:paraId="33323D85">
            <w:pPr>
              <w:spacing w:line="276" w:lineRule="auto"/>
              <w:ind w:firstLine="0"/>
              <w:jc w:val="left"/>
            </w:pPr>
            <w:r>
              <w:rPr>
                <w:rFonts w:cs="Times New Roman"/>
                <w:sz w:val="19"/>
              </w:rPr>
              <w:t>近同分区分保留下限</w:t>
            </w:r>
          </w:p>
        </w:tc>
        <w:tc>
          <w:tcPr>
            <w:tcW w:w="2239" w:type="dxa"/>
            <w:vAlign w:val="center"/>
          </w:tcPr>
          <w:p w14:paraId="296EDA27">
            <w:pPr>
              <w:spacing w:line="276" w:lineRule="auto"/>
              <w:ind w:firstLine="0"/>
              <w:jc w:val="left"/>
            </w:pPr>
            <w:r>
              <w:rPr>
                <w:rFonts w:cs="Times New Roman"/>
                <w:sz w:val="19"/>
              </w:rPr>
              <w:t>0.50</w:t>
            </w:r>
          </w:p>
        </w:tc>
        <w:tc>
          <w:tcPr>
            <w:tcW w:w="2239" w:type="dxa"/>
            <w:vAlign w:val="center"/>
          </w:tcPr>
          <w:p w14:paraId="1CB3E4E9">
            <w:pPr>
              <w:spacing w:line="276" w:lineRule="auto"/>
              <w:ind w:firstLine="0"/>
              <w:jc w:val="left"/>
            </w:pPr>
            <w:r>
              <w:rPr>
                <w:rFonts w:cs="Times New Roman"/>
                <w:sz w:val="19"/>
              </w:rPr>
              <w:t>0.70</w:t>
            </w:r>
          </w:p>
        </w:tc>
        <w:tc>
          <w:tcPr>
            <w:tcW w:w="2239" w:type="dxa"/>
            <w:vAlign w:val="center"/>
          </w:tcPr>
          <w:p w14:paraId="3C6170D9">
            <w:pPr>
              <w:spacing w:line="276" w:lineRule="auto"/>
              <w:ind w:firstLine="0"/>
              <w:jc w:val="left"/>
            </w:pPr>
            <w:r>
              <w:rPr>
                <w:rFonts w:cs="Times New Roman"/>
                <w:sz w:val="19"/>
              </w:rPr>
              <w:t>0.85</w:t>
            </w:r>
          </w:p>
        </w:tc>
      </w:tr>
      <w:tr w14:paraId="2F0488E0">
        <w:trPr>
          <w:jc w:val="center"/>
        </w:trPr>
        <w:tc>
          <w:tcPr>
            <w:tcW w:w="2239" w:type="dxa"/>
            <w:vAlign w:val="center"/>
          </w:tcPr>
          <w:p w14:paraId="1D0C0213">
            <w:pPr>
              <w:spacing w:line="276" w:lineRule="auto"/>
              <w:ind w:firstLine="0"/>
              <w:jc w:val="left"/>
            </w:pPr>
            <w:r>
              <w:rPr>
                <w:rFonts w:cs="Times New Roman"/>
                <w:sz w:val="19"/>
              </w:rPr>
              <w:t>德育贡献离散保留下限</w:t>
            </w:r>
          </w:p>
        </w:tc>
        <w:tc>
          <w:tcPr>
            <w:tcW w:w="2239" w:type="dxa"/>
            <w:vAlign w:val="center"/>
          </w:tcPr>
          <w:p w14:paraId="70B85AC2">
            <w:pPr>
              <w:spacing w:line="276" w:lineRule="auto"/>
              <w:ind w:firstLine="0"/>
              <w:jc w:val="left"/>
            </w:pPr>
            <w:r>
              <w:rPr>
                <w:rFonts w:cs="Times New Roman"/>
                <w:sz w:val="19"/>
              </w:rPr>
              <w:t>0.40</w:t>
            </w:r>
          </w:p>
        </w:tc>
        <w:tc>
          <w:tcPr>
            <w:tcW w:w="2239" w:type="dxa"/>
            <w:vAlign w:val="center"/>
          </w:tcPr>
          <w:p w14:paraId="6B7EB13C">
            <w:pPr>
              <w:spacing w:line="276" w:lineRule="auto"/>
              <w:ind w:firstLine="0"/>
              <w:jc w:val="left"/>
            </w:pPr>
            <w:r>
              <w:rPr>
                <w:rFonts w:cs="Times New Roman"/>
                <w:sz w:val="19"/>
              </w:rPr>
              <w:t>0.50</w:t>
            </w:r>
          </w:p>
        </w:tc>
        <w:tc>
          <w:tcPr>
            <w:tcW w:w="2239" w:type="dxa"/>
            <w:vAlign w:val="center"/>
          </w:tcPr>
          <w:p w14:paraId="76622A7A">
            <w:pPr>
              <w:spacing w:line="276" w:lineRule="auto"/>
              <w:ind w:firstLine="0"/>
              <w:jc w:val="left"/>
            </w:pPr>
            <w:r>
              <w:rPr>
                <w:rFonts w:cs="Times New Roman"/>
                <w:sz w:val="19"/>
              </w:rPr>
              <w:t>0.70</w:t>
            </w:r>
          </w:p>
        </w:tc>
      </w:tr>
      <w:tr w14:paraId="3535B27D">
        <w:trPr>
          <w:jc w:val="center"/>
        </w:trPr>
        <w:tc>
          <w:tcPr>
            <w:tcW w:w="2239" w:type="dxa"/>
            <w:vAlign w:val="center"/>
          </w:tcPr>
          <w:p w14:paraId="5C03CB45">
            <w:pPr>
              <w:spacing w:line="276" w:lineRule="auto"/>
              <w:ind w:firstLine="0"/>
              <w:jc w:val="left"/>
            </w:pPr>
            <w:r>
              <w:rPr>
                <w:rFonts w:cs="Times New Roman"/>
                <w:sz w:val="19"/>
              </w:rPr>
              <w:t>发展素质贡献离散保留下限</w:t>
            </w:r>
          </w:p>
        </w:tc>
        <w:tc>
          <w:tcPr>
            <w:tcW w:w="2239" w:type="dxa"/>
            <w:vAlign w:val="center"/>
          </w:tcPr>
          <w:p w14:paraId="189A045D">
            <w:pPr>
              <w:spacing w:line="276" w:lineRule="auto"/>
              <w:ind w:firstLine="0"/>
              <w:jc w:val="left"/>
            </w:pPr>
            <w:r>
              <w:rPr>
                <w:rFonts w:cs="Times New Roman"/>
                <w:sz w:val="19"/>
              </w:rPr>
              <w:t>0.40</w:t>
            </w:r>
          </w:p>
        </w:tc>
        <w:tc>
          <w:tcPr>
            <w:tcW w:w="2239" w:type="dxa"/>
            <w:vAlign w:val="center"/>
          </w:tcPr>
          <w:p w14:paraId="67A625A5">
            <w:pPr>
              <w:spacing w:line="276" w:lineRule="auto"/>
              <w:ind w:firstLine="0"/>
              <w:jc w:val="left"/>
            </w:pPr>
            <w:r>
              <w:rPr>
                <w:rFonts w:cs="Times New Roman"/>
                <w:sz w:val="19"/>
              </w:rPr>
              <w:t>0.50</w:t>
            </w:r>
          </w:p>
        </w:tc>
        <w:tc>
          <w:tcPr>
            <w:tcW w:w="2239" w:type="dxa"/>
            <w:vAlign w:val="center"/>
          </w:tcPr>
          <w:p w14:paraId="6BFF1E2E">
            <w:pPr>
              <w:spacing w:line="276" w:lineRule="auto"/>
              <w:ind w:firstLine="0"/>
              <w:jc w:val="left"/>
            </w:pPr>
            <w:r>
              <w:rPr>
                <w:rFonts w:cs="Times New Roman"/>
                <w:sz w:val="19"/>
              </w:rPr>
              <w:t>0.70</w:t>
            </w:r>
          </w:p>
        </w:tc>
      </w:tr>
      <w:tr w14:paraId="4AA04B82">
        <w:trPr>
          <w:jc w:val="center"/>
        </w:trPr>
        <w:tc>
          <w:tcPr>
            <w:tcW w:w="2239" w:type="dxa"/>
            <w:vAlign w:val="center"/>
          </w:tcPr>
          <w:p w14:paraId="680D2EEA">
            <w:pPr>
              <w:spacing w:line="276" w:lineRule="auto"/>
              <w:ind w:firstLine="0"/>
              <w:jc w:val="left"/>
            </w:pPr>
            <w:r>
              <w:rPr>
                <w:rFonts w:cs="Times New Roman"/>
                <w:sz w:val="19"/>
              </w:rPr>
              <w:t>5—10分逆转相对改善下限</w:t>
            </w:r>
          </w:p>
        </w:tc>
        <w:tc>
          <w:tcPr>
            <w:tcW w:w="2239" w:type="dxa"/>
            <w:vAlign w:val="center"/>
          </w:tcPr>
          <w:p w14:paraId="5CCDA81D">
            <w:pPr>
              <w:spacing w:line="276" w:lineRule="auto"/>
              <w:ind w:firstLine="0"/>
              <w:jc w:val="left"/>
            </w:pPr>
            <w:r>
              <w:rPr>
                <w:rFonts w:cs="Times New Roman"/>
                <w:sz w:val="19"/>
              </w:rPr>
              <w:t>20%</w:t>
            </w:r>
          </w:p>
        </w:tc>
        <w:tc>
          <w:tcPr>
            <w:tcW w:w="2239" w:type="dxa"/>
            <w:vAlign w:val="center"/>
          </w:tcPr>
          <w:p w14:paraId="58B749F5">
            <w:pPr>
              <w:spacing w:line="276" w:lineRule="auto"/>
              <w:ind w:firstLine="0"/>
              <w:jc w:val="left"/>
            </w:pPr>
            <w:r>
              <w:rPr>
                <w:rFonts w:cs="Times New Roman"/>
                <w:sz w:val="19"/>
              </w:rPr>
              <w:t>15%</w:t>
            </w:r>
          </w:p>
        </w:tc>
        <w:tc>
          <w:tcPr>
            <w:tcW w:w="2239" w:type="dxa"/>
            <w:vAlign w:val="center"/>
          </w:tcPr>
          <w:p w14:paraId="0A9D2BA7">
            <w:pPr>
              <w:spacing w:line="276" w:lineRule="auto"/>
              <w:ind w:firstLine="0"/>
              <w:jc w:val="left"/>
            </w:pPr>
            <w:r>
              <w:rPr>
                <w:rFonts w:cs="Times New Roman"/>
                <w:sz w:val="19"/>
              </w:rPr>
              <w:t>10%</w:t>
            </w:r>
          </w:p>
        </w:tc>
      </w:tr>
      <w:tr w14:paraId="3C2A8F95">
        <w:trPr>
          <w:jc w:val="center"/>
        </w:trPr>
        <w:tc>
          <w:tcPr>
            <w:tcW w:w="2239" w:type="dxa"/>
            <w:vAlign w:val="center"/>
          </w:tcPr>
          <w:p w14:paraId="027D89A8">
            <w:pPr>
              <w:spacing w:line="276" w:lineRule="auto"/>
              <w:ind w:firstLine="0"/>
              <w:jc w:val="left"/>
            </w:pPr>
            <w:r>
              <w:rPr>
                <w:rFonts w:cs="Times New Roman"/>
                <w:sz w:val="19"/>
              </w:rPr>
              <w:t>智育Top20流失</w:t>
            </w:r>
          </w:p>
        </w:tc>
        <w:tc>
          <w:tcPr>
            <w:tcW w:w="2239" w:type="dxa"/>
            <w:vAlign w:val="center"/>
          </w:tcPr>
          <w:p w14:paraId="251693D3">
            <w:pPr>
              <w:spacing w:line="276" w:lineRule="auto"/>
              <w:ind w:firstLine="0"/>
              <w:jc w:val="left"/>
            </w:pPr>
            <w:r>
              <w:rPr>
                <w:rFonts w:cs="Times New Roman"/>
                <w:sz w:val="19"/>
              </w:rPr>
              <w:t>不高于现行</w:t>
            </w:r>
          </w:p>
        </w:tc>
        <w:tc>
          <w:tcPr>
            <w:tcW w:w="2239" w:type="dxa"/>
            <w:vAlign w:val="center"/>
          </w:tcPr>
          <w:p w14:paraId="6E31DC6B">
            <w:pPr>
              <w:spacing w:line="276" w:lineRule="auto"/>
              <w:ind w:firstLine="0"/>
              <w:jc w:val="left"/>
            </w:pPr>
            <w:r>
              <w:rPr>
                <w:rFonts w:cs="Times New Roman"/>
                <w:sz w:val="19"/>
              </w:rPr>
              <w:t>不高于现行</w:t>
            </w:r>
          </w:p>
        </w:tc>
        <w:tc>
          <w:tcPr>
            <w:tcW w:w="2239" w:type="dxa"/>
            <w:vAlign w:val="center"/>
          </w:tcPr>
          <w:p w14:paraId="09E1F2C1">
            <w:pPr>
              <w:spacing w:line="276" w:lineRule="auto"/>
              <w:ind w:firstLine="0"/>
              <w:jc w:val="left"/>
            </w:pPr>
            <w:r>
              <w:rPr>
                <w:rFonts w:cs="Times New Roman"/>
                <w:sz w:val="19"/>
              </w:rPr>
              <w:t>不高于现行</w:t>
            </w:r>
          </w:p>
        </w:tc>
      </w:tr>
      <w:tr w14:paraId="495F2250">
        <w:trPr>
          <w:jc w:val="center"/>
        </w:trPr>
        <w:tc>
          <w:tcPr>
            <w:tcW w:w="2239" w:type="dxa"/>
            <w:vAlign w:val="center"/>
          </w:tcPr>
          <w:p w14:paraId="47D32D2E">
            <w:pPr>
              <w:spacing w:line="276" w:lineRule="auto"/>
              <w:ind w:firstLine="0"/>
              <w:jc w:val="left"/>
            </w:pPr>
            <w:r>
              <w:rPr>
                <w:rFonts w:cs="Times New Roman"/>
                <w:sz w:val="19"/>
              </w:rPr>
              <w:t>新增5—10分逆转率上限</w:t>
            </w:r>
          </w:p>
        </w:tc>
        <w:tc>
          <w:tcPr>
            <w:tcW w:w="2239" w:type="dxa"/>
            <w:vAlign w:val="center"/>
          </w:tcPr>
          <w:p w14:paraId="0B7926B0">
            <w:pPr>
              <w:spacing w:line="276" w:lineRule="auto"/>
              <w:ind w:firstLine="0"/>
              <w:jc w:val="left"/>
            </w:pPr>
            <w:r>
              <w:rPr>
                <w:rFonts w:cs="Times New Roman"/>
                <w:sz w:val="19"/>
              </w:rPr>
              <w:t>0</w:t>
            </w:r>
          </w:p>
        </w:tc>
        <w:tc>
          <w:tcPr>
            <w:tcW w:w="2239" w:type="dxa"/>
            <w:vAlign w:val="center"/>
          </w:tcPr>
          <w:p w14:paraId="41CDF3C5">
            <w:pPr>
              <w:spacing w:line="276" w:lineRule="auto"/>
              <w:ind w:firstLine="0"/>
              <w:jc w:val="left"/>
            </w:pPr>
            <w:r>
              <w:rPr>
                <w:rFonts w:cs="Times New Roman"/>
                <w:sz w:val="19"/>
              </w:rPr>
              <w:t>0.001</w:t>
            </w:r>
          </w:p>
        </w:tc>
        <w:tc>
          <w:tcPr>
            <w:tcW w:w="2239" w:type="dxa"/>
            <w:vAlign w:val="center"/>
          </w:tcPr>
          <w:p w14:paraId="150DB17F">
            <w:pPr>
              <w:spacing w:line="276" w:lineRule="auto"/>
              <w:ind w:firstLine="0"/>
              <w:jc w:val="left"/>
            </w:pPr>
            <w:r>
              <w:rPr>
                <w:rFonts w:cs="Times New Roman"/>
                <w:sz w:val="19"/>
              </w:rPr>
              <w:t>不设</w:t>
            </w:r>
          </w:p>
        </w:tc>
      </w:tr>
    </w:tbl>
    <w:p w14:paraId="61B43459"/>
    <w:p w14:paraId="594919A4">
      <w:r>
        <w:rPr>
          <w:rFonts w:cs="Times New Roman"/>
        </w:rPr>
        <w:t>三类情景以不同强度组合学业稳定、名单连续性和非智育功能保留，属于研究压力条件。它们不是学校现行标准，也不构成从低到高的单一价值序列。</w:t>
      </w:r>
    </w:p>
    <w:p w14:paraId="64698437">
      <w:pPr>
        <w:pStyle w:val="4"/>
      </w:pPr>
      <w:bookmarkStart w:id="39" w:name="_Toc240540921"/>
      <w:r>
        <w:rPr>
          <w:rFonts w:ascii="Times New Roman" w:hAnsi="Times New Roman" w:eastAsia="黑体" w:cs="Times New Roman"/>
        </w:rPr>
        <w:t>6.3 统一共同可行域</w:t>
      </w:r>
      <w:bookmarkEnd w:id="39"/>
    </w:p>
    <w:p w14:paraId="3F021171">
      <w:r>
        <w:rPr>
          <w:rFonts w:cs="Times New Roman"/>
        </w:rPr>
        <w:t>Strict与Extended在三类情景下的共同可行点均为0。样本从三个严格核心学院扩展至加入生科有效单元后，空集结论没有改变；审计前旧观察口径也为0。原“五学院完整总体无解”的称谓已经退出，保留的是“合法样本口径的统一权重无共同解”。</w:t>
      </w:r>
    </w:p>
    <w:p w14:paraId="4D63DF43">
      <w:pPr>
        <w:pStyle w:val="4"/>
      </w:pPr>
      <w:bookmarkStart w:id="40" w:name="_Toc240540922"/>
      <w:r>
        <w:rPr>
          <w:rFonts w:ascii="Times New Roman" w:hAnsi="Times New Roman" w:eastAsia="黑体" w:cs="Times New Roman"/>
        </w:rPr>
        <w:t>6.4 离散域极小不可行组合</w:t>
      </w:r>
      <w:bookmarkEnd w:id="40"/>
    </w:p>
    <w:p w14:paraId="0B78E48F">
      <w:pPr>
        <w:pStyle w:val="15"/>
        <w:keepNext/>
      </w:pPr>
      <w:r>
        <w:t xml:space="preserve">表 </w:t>
      </w:r>
      <w:r>
        <w:rPr>
          <w:rFonts w:cs="Times New Roman"/>
        </w:rPr>
        <w:fldChar w:fldCharType="begin"/>
      </w:r>
      <w:r>
        <w:rPr>
          <w:rFonts w:cs="Times New Roman"/>
        </w:rPr>
        <w:instrText xml:space="preserve">SEQ Table \* ARABIC</w:instrText>
      </w:r>
      <w:r>
        <w:rPr>
          <w:rFonts w:cs="Times New Roman"/>
        </w:rPr>
        <w:fldChar w:fldCharType="separate"/>
      </w:r>
      <w:r>
        <w:rPr>
          <w:rFonts w:cs="Times New Roman"/>
        </w:rPr>
        <w:t>5</w:t>
      </w:r>
      <w:r>
        <w:rPr>
          <w:rFonts w:cs="Times New Roman"/>
        </w:rPr>
        <w:fldChar w:fldCharType="end"/>
      </w:r>
      <w:r>
        <w:rPr>
          <w:rFonts w:cs="Times New Roman"/>
        </w:rPr>
        <w:t xml:space="preserve"> Strict与Extended的极小不可行组合</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9"/>
        <w:gridCol w:w="4479"/>
      </w:tblGrid>
      <w:tr w14:paraId="43A0B867">
        <w:trPr>
          <w:jc w:val="center"/>
        </w:trPr>
        <w:tc>
          <w:tcPr>
            <w:tcW w:w="4479" w:type="dxa"/>
            <w:shd w:val="clear" w:color="auto" w:fill="D9EAF2"/>
            <w:vAlign w:val="center"/>
          </w:tcPr>
          <w:p w14:paraId="37E505E9">
            <w:pPr>
              <w:spacing w:line="276" w:lineRule="auto"/>
              <w:ind w:firstLine="0"/>
              <w:jc w:val="center"/>
            </w:pPr>
            <w:r>
              <w:rPr>
                <w:rFonts w:cs="Times New Roman"/>
                <w:b/>
                <w:sz w:val="19"/>
              </w:rPr>
              <w:t>情景</w:t>
            </w:r>
          </w:p>
        </w:tc>
        <w:tc>
          <w:tcPr>
            <w:tcW w:w="4479" w:type="dxa"/>
            <w:shd w:val="clear" w:color="auto" w:fill="D9EAF2"/>
            <w:vAlign w:val="center"/>
          </w:tcPr>
          <w:p w14:paraId="68208BD1">
            <w:pPr>
              <w:spacing w:line="276" w:lineRule="auto"/>
              <w:ind w:firstLine="0"/>
              <w:jc w:val="center"/>
            </w:pPr>
            <w:r>
              <w:rPr>
                <w:rFonts w:cs="Times New Roman"/>
                <w:b/>
                <w:sz w:val="19"/>
              </w:rPr>
              <w:t>极小不可行组合</w:t>
            </w:r>
          </w:p>
        </w:tc>
      </w:tr>
      <w:tr w14:paraId="7586B654">
        <w:trPr>
          <w:jc w:val="center"/>
        </w:trPr>
        <w:tc>
          <w:tcPr>
            <w:tcW w:w="4479" w:type="dxa"/>
            <w:vAlign w:val="center"/>
          </w:tcPr>
          <w:p w14:paraId="07CF1B57">
            <w:pPr>
              <w:spacing w:line="276" w:lineRule="auto"/>
              <w:ind w:firstLine="0"/>
              <w:jc w:val="left"/>
            </w:pPr>
            <w:r>
              <w:rPr>
                <w:rFonts w:cs="Times New Roman"/>
                <w:sz w:val="19"/>
              </w:rPr>
              <w:t>学业稳定</w:t>
            </w:r>
          </w:p>
        </w:tc>
        <w:tc>
          <w:tcPr>
            <w:tcW w:w="4479" w:type="dxa"/>
            <w:vAlign w:val="center"/>
          </w:tcPr>
          <w:p w14:paraId="2F589CDE">
            <w:pPr>
              <w:spacing w:line="276" w:lineRule="auto"/>
              <w:ind w:firstLine="0"/>
              <w:jc w:val="left"/>
            </w:pPr>
            <w:r>
              <w:rPr>
                <w:rFonts w:cs="Times New Roman"/>
                <w:sz w:val="19"/>
              </w:rPr>
              <w:t>最低补偿留存 + 5—10分逆转改善</w:t>
            </w:r>
          </w:p>
        </w:tc>
      </w:tr>
      <w:tr w14:paraId="39DA715E">
        <w:trPr>
          <w:jc w:val="center"/>
        </w:trPr>
        <w:tc>
          <w:tcPr>
            <w:tcW w:w="4479" w:type="dxa"/>
            <w:vAlign w:val="center"/>
          </w:tcPr>
          <w:p w14:paraId="4C0DB1DF">
            <w:pPr>
              <w:spacing w:line="276" w:lineRule="auto"/>
              <w:ind w:firstLine="0"/>
              <w:jc w:val="left"/>
            </w:pPr>
            <w:r>
              <w:rPr>
                <w:rFonts w:cs="Times New Roman"/>
                <w:sz w:val="19"/>
              </w:rPr>
              <w:t>平衡</w:t>
            </w:r>
          </w:p>
        </w:tc>
        <w:tc>
          <w:tcPr>
            <w:tcW w:w="4479" w:type="dxa"/>
            <w:vAlign w:val="center"/>
          </w:tcPr>
          <w:p w14:paraId="446D8D81">
            <w:pPr>
              <w:spacing w:line="276" w:lineRule="auto"/>
              <w:ind w:firstLine="0"/>
              <w:jc w:val="left"/>
            </w:pPr>
            <w:r>
              <w:rPr>
                <w:rFonts w:cs="Times New Roman"/>
                <w:sz w:val="19"/>
              </w:rPr>
              <w:t>最低补偿留存</w:t>
            </w:r>
          </w:p>
        </w:tc>
      </w:tr>
      <w:tr w14:paraId="2B464C46">
        <w:trPr>
          <w:jc w:val="center"/>
        </w:trPr>
        <w:tc>
          <w:tcPr>
            <w:tcW w:w="4479" w:type="dxa"/>
            <w:vAlign w:val="center"/>
          </w:tcPr>
          <w:p w14:paraId="0C3C0562">
            <w:pPr>
              <w:spacing w:line="276" w:lineRule="auto"/>
              <w:ind w:firstLine="0"/>
              <w:jc w:val="left"/>
            </w:pPr>
            <w:r>
              <w:rPr>
                <w:rFonts w:cs="Times New Roman"/>
                <w:sz w:val="19"/>
              </w:rPr>
              <w:t>平衡</w:t>
            </w:r>
          </w:p>
        </w:tc>
        <w:tc>
          <w:tcPr>
            <w:tcW w:w="4479" w:type="dxa"/>
            <w:vAlign w:val="center"/>
          </w:tcPr>
          <w:p w14:paraId="75A73918">
            <w:pPr>
              <w:spacing w:line="276" w:lineRule="auto"/>
              <w:ind w:firstLine="0"/>
              <w:jc w:val="left"/>
            </w:pPr>
            <w:r>
              <w:rPr>
                <w:rFonts w:cs="Times New Roman"/>
                <w:sz w:val="19"/>
              </w:rPr>
              <w:t>原综评Top20退出 + 5—10分逆转改善</w:t>
            </w:r>
          </w:p>
        </w:tc>
      </w:tr>
      <w:tr w14:paraId="0AA8A6A5">
        <w:trPr>
          <w:jc w:val="center"/>
        </w:trPr>
        <w:tc>
          <w:tcPr>
            <w:tcW w:w="4479" w:type="dxa"/>
            <w:vAlign w:val="center"/>
          </w:tcPr>
          <w:p w14:paraId="42E8EB54">
            <w:pPr>
              <w:spacing w:line="276" w:lineRule="auto"/>
              <w:ind w:firstLine="0"/>
              <w:jc w:val="left"/>
            </w:pPr>
            <w:r>
              <w:rPr>
                <w:rFonts w:cs="Times New Roman"/>
                <w:sz w:val="19"/>
              </w:rPr>
              <w:t>全面发展</w:t>
            </w:r>
          </w:p>
        </w:tc>
        <w:tc>
          <w:tcPr>
            <w:tcW w:w="4479" w:type="dxa"/>
            <w:vAlign w:val="center"/>
          </w:tcPr>
          <w:p w14:paraId="7C98BD72">
            <w:pPr>
              <w:spacing w:line="276" w:lineRule="auto"/>
              <w:ind w:firstLine="0"/>
              <w:jc w:val="left"/>
            </w:pPr>
            <w:r>
              <w:rPr>
                <w:rFonts w:cs="Times New Roman"/>
                <w:sz w:val="19"/>
              </w:rPr>
              <w:t>最低补偿留存</w:t>
            </w:r>
          </w:p>
        </w:tc>
      </w:tr>
      <w:tr w14:paraId="33808DB2">
        <w:trPr>
          <w:jc w:val="center"/>
        </w:trPr>
        <w:tc>
          <w:tcPr>
            <w:tcW w:w="4479" w:type="dxa"/>
            <w:vAlign w:val="center"/>
          </w:tcPr>
          <w:p w14:paraId="030DAE89">
            <w:pPr>
              <w:spacing w:line="276" w:lineRule="auto"/>
              <w:ind w:firstLine="0"/>
              <w:jc w:val="left"/>
            </w:pPr>
            <w:r>
              <w:rPr>
                <w:rFonts w:cs="Times New Roman"/>
                <w:sz w:val="19"/>
              </w:rPr>
              <w:t>全面发展</w:t>
            </w:r>
          </w:p>
        </w:tc>
        <w:tc>
          <w:tcPr>
            <w:tcW w:w="4479" w:type="dxa"/>
            <w:vAlign w:val="center"/>
          </w:tcPr>
          <w:p w14:paraId="3EED5FCA">
            <w:pPr>
              <w:spacing w:line="276" w:lineRule="auto"/>
              <w:ind w:firstLine="0"/>
              <w:jc w:val="left"/>
            </w:pPr>
            <w:r>
              <w:rPr>
                <w:rFonts w:cs="Times New Roman"/>
                <w:sz w:val="19"/>
              </w:rPr>
              <w:t>原综评Top20退出 + 5—10分逆转改善</w:t>
            </w:r>
          </w:p>
        </w:tc>
      </w:tr>
    </w:tbl>
    <w:p w14:paraId="65C8B0D1"/>
    <w:p w14:paraId="5F3422E2">
      <w:r>
        <w:rPr>
          <w:rFonts w:cs="Times New Roman"/>
        </w:rPr>
        <w:t>两种合法口径的冲突组合完全相同。平衡和全面发展中，最低补偿留存单独就能使主域不可行；同时还存在不含该指标的“退出率+逆转改善”冲突。因此，不能把无解简化为单一补偿下限过严。</w:t>
      </w:r>
    </w:p>
    <w:p w14:paraId="6E2B1396">
      <w:pPr>
        <w:keepNext/>
        <w:ind w:firstLine="0"/>
        <w:jc w:val="center"/>
      </w:pPr>
      <w:r>
        <w:drawing>
          <wp:inline distT="0" distB="0" distL="0" distR="0">
            <wp:extent cx="5471795" cy="2197100"/>
            <wp:effectExtent l="0" t="0" r="0" b="0"/>
            <wp:docPr id="4" name="Picture 4" descr="统一权重可行性与极小冲突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统一权重可行性与极小冲突结构"/>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5472000" cy="2197440"/>
                    </a:xfrm>
                    <a:prstGeom prst="rect">
                      <a:avLst/>
                    </a:prstGeom>
                  </pic:spPr>
                </pic:pic>
              </a:graphicData>
            </a:graphic>
          </wp:inline>
        </w:drawing>
      </w:r>
    </w:p>
    <w:p w14:paraId="059B5962">
      <w:pPr>
        <w:pStyle w:val="15"/>
      </w:pPr>
      <w:r>
        <w:rPr>
          <w:rFonts w:cs="Times New Roman"/>
        </w:rPr>
        <w:t xml:space="preserve">图 </w:t>
      </w:r>
      <w:r>
        <w:rPr>
          <w:rFonts w:cs="Times New Roman"/>
        </w:rPr>
        <w:fldChar w:fldCharType="begin"/>
      </w:r>
      <w:r>
        <w:rPr>
          <w:rFonts w:cs="Times New Roman"/>
        </w:rPr>
        <w:instrText xml:space="preserve">SEQ Figure \* ARABIC</w:instrText>
      </w:r>
      <w:r>
        <w:rPr>
          <w:rFonts w:cs="Times New Roman"/>
        </w:rPr>
        <w:fldChar w:fldCharType="separate"/>
      </w:r>
      <w:r>
        <w:rPr>
          <w:rFonts w:cs="Times New Roman"/>
        </w:rPr>
        <w:t>4</w:t>
      </w:r>
      <w:r>
        <w:rPr>
          <w:rFonts w:cs="Times New Roman"/>
        </w:rPr>
        <w:fldChar w:fldCharType="end"/>
      </w:r>
      <w:r>
        <w:rPr>
          <w:rFonts w:cs="Times New Roman"/>
        </w:rPr>
        <w:t xml:space="preserve"> 统一权重可行性与极小冲突结构</w:t>
      </w:r>
    </w:p>
    <w:p w14:paraId="33C0A9B1">
      <w:r>
        <w:rPr>
          <w:rFonts w:cs="Times New Roman"/>
        </w:rPr>
        <w:t>图4左侧说明六个口径—情景组合均为0/15,251，右侧区分单约束冲突和双约束冲突。柱长表示组合中约束项数，不表示冲突强度。该结果是离散候选域内的删减枚举诊断，借鉴极小不可行子系统思想，但不是连续空间求解器意义的IIS[10]。</w:t>
      </w:r>
    </w:p>
    <w:p w14:paraId="013AC1C6">
      <w:pPr>
        <w:pStyle w:val="4"/>
      </w:pPr>
      <w:bookmarkStart w:id="41" w:name="_Toc240540923"/>
      <w:r>
        <w:rPr>
          <w:rFonts w:ascii="Times New Roman" w:hAnsi="Times New Roman" w:eastAsia="黑体" w:cs="Times New Roman"/>
        </w:rPr>
        <w:t>6.5 最低补偿单约束松弛</w:t>
      </w:r>
      <w:bookmarkEnd w:id="41"/>
    </w:p>
    <w:p w14:paraId="46286D92">
      <w:r>
        <w:rPr>
          <w:rFonts w:cs="Times New Roman"/>
        </w:rPr>
        <w:t>保持平衡情景其余约束不变，把Strict最低补偿下限和Extended最低补偿下限从0.900按0.001扫描至0，均未出现共同可行点；除最低补偿约束外的其余条件本身也没有可行点。因此，本次重算没有可报告的单约束恢复边界，任何旧观察口径中的边界值都不能进入当前正式结论。</w:t>
      </w:r>
    </w:p>
    <w:p w14:paraId="18004D10">
      <w:pPr>
        <w:pStyle w:val="4"/>
      </w:pPr>
      <w:bookmarkStart w:id="42" w:name="_Toc240540924"/>
      <w:r>
        <w:rPr>
          <w:rFonts w:ascii="Times New Roman" w:hAnsi="Times New Roman" w:eastAsia="黑体" w:cs="Times New Roman"/>
        </w:rPr>
        <w:t>6.6 制度张力</w:t>
      </w:r>
      <w:bookmarkEnd w:id="42"/>
    </w:p>
    <w:p w14:paraId="5E9927A4">
      <w:r>
        <w:rPr>
          <w:rFonts w:cs="Times New Roman"/>
        </w:rPr>
        <w:t>空集并不表示综合评价只能回到纯智育排序。它说明在当前主政策域中，同一套统一权重无法同时达到预设的逆转改善、名单连续性和功能保留阈值。冲突来自目标组合，而非搜索程序遗漏候选；解决路径可能涉及改变制度表达、允许有限差异或重新审议阈值，但这些选择超出数值模型的规范权限。</w:t>
      </w:r>
    </w:p>
    <w:p w14:paraId="3492ADB3">
      <w:pPr>
        <w:pStyle w:val="4"/>
      </w:pPr>
      <w:bookmarkStart w:id="43" w:name="_Toc240540925"/>
      <w:r>
        <w:rPr>
          <w:rFonts w:ascii="Times New Roman" w:hAnsi="Times New Roman" w:eastAsia="黑体" w:cs="Times New Roman"/>
        </w:rPr>
        <w:t>6.7 本章小结</w:t>
      </w:r>
      <w:bookmarkEnd w:id="43"/>
    </w:p>
    <w:p w14:paraId="7A1E6DD0">
      <w:r>
        <w:rPr>
          <w:rFonts w:cs="Times New Roman"/>
        </w:rPr>
        <w:t>统一权重无共同解在Strict和Extended中稳定，且冲突结构一致。最低补偿约束是重要瓶颈，但不是唯一矛盾；单独放宽该约束无法恢复共同可行域。</w:t>
      </w:r>
    </w:p>
    <w:p w14:paraId="7C67B0D5">
      <w:pPr>
        <w:pStyle w:val="3"/>
      </w:pPr>
      <w:bookmarkStart w:id="44" w:name="_Toc240540926"/>
      <w:r>
        <w:rPr>
          <w:rFonts w:ascii="Times New Roman" w:hAnsi="Times New Roman" w:eastAsia="黑体" w:cs="Times New Roman"/>
        </w:rPr>
        <w:t>7 学院差异化权重与统一程度优化</w:t>
      </w:r>
      <w:bookmarkEnd w:id="44"/>
    </w:p>
    <w:p w14:paraId="30F7C75A">
      <w:pPr>
        <w:pStyle w:val="4"/>
      </w:pPr>
      <w:bookmarkStart w:id="45" w:name="_Toc240540927"/>
      <w:r>
        <w:rPr>
          <w:rFonts w:ascii="Times New Roman" w:hAnsi="Times New Roman" w:eastAsia="黑体" w:cs="Times New Roman"/>
        </w:rPr>
        <w:t>7.1 差异化问题</w:t>
      </w:r>
      <w:bookmarkEnd w:id="45"/>
    </w:p>
    <w:p w14:paraId="2CA797CC">
      <w:r>
        <w:rPr>
          <w:rFonts w:cs="Times New Roman"/>
        </w:rPr>
        <w:t xml:space="preserve">统一权重要求各学院使用同一组 </w:t>
      </w:r>
      <m:oMath>
        <m:d>
          <m:dPr>
            <m:sepChr m:val=","/>
            <m:ctrlPr>
              <w:rPr>
                <w:rFonts w:ascii="Cambria Math" w:hAnsi="Cambria Math"/>
              </w:rPr>
            </m:ctrlPr>
          </m:dPr>
          <m:e>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A</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D</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E</m:t>
                </m:r>
                <m:ctrlPr>
                  <w:rPr>
                    <w:rFonts w:ascii="Cambria Math" w:hAnsi="Cambria Math"/>
                  </w:rPr>
                </m:ctrlPr>
              </m:sub>
            </m:sSub>
            <m:ctrlPr>
              <w:rPr>
                <w:rFonts w:ascii="Cambria Math" w:hAnsi="Cambria Math"/>
              </w:rPr>
            </m:ctrlPr>
          </m:e>
        </m:d>
      </m:oMath>
      <w:r>
        <w:rPr>
          <w:rFonts w:cs="Times New Roman"/>
          <w:vanish/>
          <w:sz w:val="2"/>
        </w:rPr>
        <w:t>[AxMath LaTeX: (w_A,w_D,w_E)]</w:t>
      </w:r>
      <w:r>
        <w:rPr>
          <w:rFonts w:cs="Times New Roman"/>
        </w:rPr>
        <w:t>，但相同名义权重面对不同分布时会产生不同响应。差异化分析检验最少需要释放多少学院自主空间，才能在同一情景下分别满足合法组别约束。它比较的是有限异质权重的统计可行性，不直接回答制度上应否授权。</w:t>
      </w:r>
    </w:p>
    <w:p w14:paraId="76AE9A8A">
      <w:pPr>
        <w:pStyle w:val="4"/>
      </w:pPr>
      <w:bookmarkStart w:id="46" w:name="_Toc240540928"/>
      <w:r>
        <w:rPr>
          <w:rFonts w:ascii="Times New Roman" w:hAnsi="Times New Roman" w:eastAsia="黑体" w:cs="Times New Roman"/>
        </w:rPr>
        <w:t>7.2 D/E/F制度架构</w:t>
      </w:r>
      <w:bookmarkEnd w:id="46"/>
    </w:p>
    <w:p w14:paraId="236B9120">
      <w:r>
        <w:rPr>
          <w:rFonts w:cs="Times New Roman"/>
        </w:rPr>
        <w:t xml:space="preserve">架构D固定共同 </w:t>
      </w:r>
      <m:oMath>
        <m:r>
          <m:rPr/>
          <w:rPr>
            <w:rFonts w:ascii="Cambria Math" w:hAnsi="Cambria Math"/>
          </w:rPr>
          <m:t>α</m:t>
        </m:r>
      </m:oMath>
      <w:r>
        <w:rPr>
          <w:rFonts w:cs="Times New Roman"/>
          <w:vanish/>
          <w:sz w:val="2"/>
        </w:rPr>
        <w:t>[AxMath LaTeX: \alpha]</w:t>
      </w:r>
      <w:r>
        <w:rPr>
          <w:rFonts w:cs="Times New Roman"/>
        </w:rPr>
        <w:t xml:space="preserve">，允许各学院的 </w:t>
      </w:r>
      <m:oMath>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c</m:t>
            </m:r>
            <m:ctrlPr>
              <w:rPr>
                <w:rFonts w:ascii="Cambria Math" w:hAnsi="Cambria Math"/>
              </w:rPr>
            </m:ctrlPr>
          </m:sub>
        </m:sSub>
      </m:oMath>
      <w:r>
        <w:rPr>
          <w:rFonts w:cs="Times New Roman"/>
          <w:vanish/>
          <w:sz w:val="2"/>
        </w:rPr>
        <w:t>[AxMath LaTeX: \beta_c]</w:t>
      </w:r>
      <w:r>
        <w:rPr>
          <w:rFonts w:cs="Times New Roman"/>
        </w:rPr>
        <w:t xml:space="preserve"> 相对本学院现行内部比例有限偏离；架构E允许 </w:t>
      </w:r>
      <m:oMath>
        <m:sSub>
          <m:sSubPr>
            <m:ctrlPr>
              <w:rPr>
                <w:rFonts w:ascii="Cambria Math" w:hAnsi="Cambria Math"/>
              </w:rPr>
            </m:ctrlPr>
          </m:sSubPr>
          <m:e>
            <m:r>
              <m:rPr/>
              <w:rPr>
                <w:rFonts w:ascii="Cambria Math" w:hAnsi="Cambria Math"/>
              </w:rPr>
              <m:t>α</m:t>
            </m:r>
            <m:ctrlPr>
              <w:rPr>
                <w:rFonts w:ascii="Cambria Math" w:hAnsi="Cambria Math"/>
              </w:rPr>
            </m:ctrlPr>
          </m:e>
          <m:sub>
            <m:r>
              <m:rPr/>
              <w:rPr>
                <w:rFonts w:ascii="Cambria Math" w:hAnsi="Cambria Math"/>
              </w:rPr>
              <m:t>c</m:t>
            </m:r>
            <m:ctrlPr>
              <w:rPr>
                <w:rFonts w:ascii="Cambria Math" w:hAnsi="Cambria Math"/>
              </w:rPr>
            </m:ctrlPr>
          </m:sub>
        </m:sSub>
      </m:oMath>
      <w:r>
        <w:rPr>
          <w:rFonts w:cs="Times New Roman"/>
          <w:vanish/>
          <w:sz w:val="2"/>
        </w:rPr>
        <w:t>[AxMath LaTeX: \alpha_c]</w:t>
      </w:r>
      <w:r>
        <w:rPr>
          <w:rFonts w:cs="Times New Roman"/>
        </w:rPr>
        <w:t xml:space="preserve"> 围绕共同中心 </w:t>
      </w:r>
      <m:oMath>
        <m:bar>
          <m:barPr>
            <m:pos m:val="top"/>
            <m:ctrlPr>
              <w:rPr>
                <w:rFonts w:ascii="Cambria Math" w:hAnsi="Cambria Math"/>
              </w:rPr>
            </m:ctrlPr>
          </m:barPr>
          <m:e>
            <m:r>
              <m:rPr/>
              <w:rPr>
                <w:rFonts w:ascii="Cambria Math" w:hAnsi="Cambria Math"/>
              </w:rPr>
              <m:t>α</m:t>
            </m:r>
            <m:ctrlPr>
              <w:rPr>
                <w:rFonts w:ascii="Cambria Math" w:hAnsi="Cambria Math"/>
              </w:rPr>
            </m:ctrlPr>
          </m:e>
        </m:bar>
      </m:oMath>
      <w:r>
        <w:rPr>
          <w:rFonts w:cs="Times New Roman"/>
          <w:vanish/>
          <w:sz w:val="2"/>
        </w:rPr>
        <w:t>[AxMath LaTeX: \bar\alpha]</w:t>
      </w:r>
      <w:r>
        <w:rPr>
          <w:rFonts w:cs="Times New Roman"/>
        </w:rPr>
        <w:t xml:space="preserve"> 有限变化，对 </w:t>
      </w:r>
      <m:oMath>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c</m:t>
            </m:r>
            <m:ctrlPr>
              <w:rPr>
                <w:rFonts w:ascii="Cambria Math" w:hAnsi="Cambria Math"/>
              </w:rPr>
            </m:ctrlPr>
          </m:sub>
        </m:sSub>
      </m:oMath>
      <w:r>
        <w:rPr>
          <w:rFonts w:cs="Times New Roman"/>
          <w:vanish/>
          <w:sz w:val="2"/>
        </w:rPr>
        <w:t>[AxMath LaTeX: \beta_c]</w:t>
      </w:r>
      <w:r>
        <w:rPr>
          <w:rFonts w:cs="Times New Roman"/>
        </w:rPr>
        <w:t xml:space="preserve"> 不设统一程度边界；架构F同时约束 </w:t>
      </w:r>
      <m:oMath>
        <m:sSub>
          <m:sSubPr>
            <m:ctrlPr>
              <w:rPr>
                <w:rFonts w:ascii="Cambria Math" w:hAnsi="Cambria Math"/>
              </w:rPr>
            </m:ctrlPr>
          </m:sSubPr>
          <m:e>
            <m:r>
              <m:rPr/>
              <w:rPr>
                <w:rFonts w:ascii="Cambria Math" w:hAnsi="Cambria Math"/>
              </w:rPr>
              <m:t>α</m:t>
            </m:r>
            <m:ctrlPr>
              <w:rPr>
                <w:rFonts w:ascii="Cambria Math" w:hAnsi="Cambria Math"/>
              </w:rPr>
            </m:ctrlPr>
          </m:e>
          <m:sub>
            <m:r>
              <m:rPr/>
              <w:rPr>
                <w:rFonts w:ascii="Cambria Math" w:hAnsi="Cambria Math"/>
              </w:rPr>
              <m:t>c</m:t>
            </m:r>
            <m:ctrlPr>
              <w:rPr>
                <w:rFonts w:ascii="Cambria Math" w:hAnsi="Cambria Math"/>
              </w:rPr>
            </m:ctrlPr>
          </m:sub>
        </m:sSub>
      </m:oMath>
      <w:r>
        <w:rPr>
          <w:rFonts w:cs="Times New Roman"/>
          <w:vanish/>
          <w:sz w:val="2"/>
        </w:rPr>
        <w:t>[AxMath LaTeX: \alpha_c]</w:t>
      </w:r>
      <w:r>
        <w:rPr>
          <w:rFonts w:cs="Times New Roman"/>
        </w:rPr>
        <w:t xml:space="preserve"> 和 </w:t>
      </w:r>
      <m:oMath>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c</m:t>
            </m:r>
            <m:ctrlPr>
              <w:rPr>
                <w:rFonts w:ascii="Cambria Math" w:hAnsi="Cambria Math"/>
              </w:rPr>
            </m:ctrlPr>
          </m:sub>
        </m:sSub>
      </m:oMath>
      <w:r>
        <w:rPr>
          <w:rFonts w:cs="Times New Roman"/>
          <w:vanish/>
          <w:sz w:val="2"/>
        </w:rPr>
        <w:t>[AxMath LaTeX: \beta_c]</w:t>
      </w:r>
      <w:r>
        <w:rPr>
          <w:rFonts w:cs="Times New Roman"/>
        </w:rPr>
        <w:t xml:space="preserve"> 的差异。D/E/F是本研究构造的制度授权层级，其一般思想与群体特定权重和有界异质性相关[13]。</w:t>
      </w:r>
    </w:p>
    <w:p w14:paraId="62EEBE80">
      <w:pPr>
        <w:pStyle w:val="4"/>
      </w:pPr>
      <w:bookmarkStart w:id="47" w:name="_Toc240540929"/>
      <w:r>
        <w:rPr>
          <w:rFonts w:ascii="Times New Roman" w:hAnsi="Times New Roman" w:eastAsia="黑体" w:cs="Times New Roman"/>
        </w:rPr>
        <w:t>7.3 非智育总权重的局部边界</w:t>
      </w:r>
      <w:bookmarkEnd w:id="47"/>
    </w:p>
    <w:p w14:paraId="7C0F2F3B">
      <w:r>
        <w:rPr>
          <w:rFonts w:cs="Times New Roman"/>
        </w:rPr>
        <w:t>主政策域的学业稳定情景中，Strict与Extended的架构E最小离散半径均为：</w:t>
      </w:r>
    </w:p>
    <w:p w14:paraId="6D93D880">
      <w:pPr>
        <w:pStyle w:val="167"/>
        <w:tabs>
          <w:tab w:val="center" w:pos="4479"/>
          <w:tab w:val="right" w:pos="8957"/>
        </w:tabs>
        <w:ind w:left="0" w:right="0"/>
        <w:jc w:val="left"/>
      </w:pPr>
      <w:r>
        <w:tab/>
      </w:r>
      <m:oMath>
        <m:sSubSup>
          <m:sSubSupPr/>
          <m:e>
            <m:r>
              <m:rPr/>
              <m:t>Δ</m:t>
            </m:r>
          </m:e>
          <m:sub>
            <m:r>
              <m:rPr/>
              <m:t>α</m:t>
            </m:r>
          </m:sub>
          <m:sup>
            <m:r>
              <m:rPr/>
              <m:t>∗</m:t>
            </m:r>
          </m:sup>
        </m:sSubSup>
        <m:r>
          <m:rPr/>
          <m:t>=0.009,</m:t>
        </m:r>
        <m:bar>
          <m:barPr>
            <m:pos m:val="top"/>
          </m:barPr>
          <m:e>
            <m:r>
              <m:rPr/>
              <m:t>α</m:t>
            </m:r>
          </m:e>
        </m:bar>
        <m:r>
          <m:rPr/>
          <m:t>=0.227,</m:t>
        </m:r>
        <m:sSub>
          <m:sSubPr/>
          <m:e>
            <m:r>
              <m:rPr/>
              <m:t>α</m:t>
            </m:r>
          </m:e>
          <m:sub>
            <m:r>
              <m:rPr/>
              <m:t>c</m:t>
            </m:r>
          </m:sub>
        </m:sSub>
        <m:r>
          <m:rPr/>
          <m:t>∈[0.218,0.236].</m:t>
        </m:r>
      </m:oMath>
      <w:r>
        <w:rPr>
          <w:rFonts w:ascii="Times New Roman" w:hAnsi="Times New Roman" w:cs="Times New Roman"/>
        </w:rPr>
        <w:tab/>
      </w:r>
      <w:r>
        <w:rPr>
          <w:rFonts w:ascii="Times New Roman" w:hAnsi="Times New Roman" w:cs="Times New Roman"/>
        </w:rPr>
        <w:t>(7-1)</w:t>
      </w:r>
      <w:r>
        <w:rPr>
          <w:rFonts w:ascii="Times New Roman" w:hAnsi="Times New Roman" w:cs="Times New Roman"/>
          <w:vanish/>
          <w:sz w:val="2"/>
        </w:rPr>
        <w:t>[AxMath LaTeX: \Delta_\alpha^{*}=0.009,\qquad \bar\alpha=0.227,\qquad \alpha_c\in[0.218,0.236]. \tag{7-1}]</w:t>
      </w:r>
    </w:p>
    <w:p w14:paraId="415A26D8">
      <w:r>
        <w:rPr>
          <w:rFonts w:cs="Times New Roman"/>
        </w:rPr>
        <w:t>Strict边界有276个离散组别权重组合，Extended有3,588个。组合数大于1说明边界不是孤立权重向量；它仍是既有离散响应集合中的计数，不能外推为连续空间体积。</w:t>
      </w:r>
    </w:p>
    <w:p w14:paraId="3A90FCDE">
      <w:pPr>
        <w:pStyle w:val="4"/>
      </w:pPr>
      <w:bookmarkStart w:id="48" w:name="_Toc240540930"/>
      <w:r>
        <w:rPr>
          <w:rFonts w:ascii="Times New Roman" w:hAnsi="Times New Roman" w:eastAsia="黑体" w:cs="Times New Roman"/>
        </w:rPr>
        <w:t>7.4 学业稳定情景</w:t>
      </w:r>
      <w:bookmarkEnd w:id="48"/>
    </w:p>
    <w:p w14:paraId="6741A6AA">
      <w:pPr>
        <w:pStyle w:val="15"/>
        <w:keepNext/>
      </w:pPr>
      <w:r>
        <w:t xml:space="preserve">表 </w:t>
      </w:r>
      <w:r>
        <w:rPr>
          <w:rFonts w:cs="Times New Roman"/>
        </w:rPr>
        <w:fldChar w:fldCharType="begin"/>
      </w:r>
      <w:r>
        <w:rPr>
          <w:rFonts w:cs="Times New Roman"/>
        </w:rPr>
        <w:instrText xml:space="preserve">SEQ Table \* ARABIC</w:instrText>
      </w:r>
      <w:r>
        <w:rPr>
          <w:rFonts w:cs="Times New Roman"/>
        </w:rPr>
        <w:fldChar w:fldCharType="separate"/>
      </w:r>
      <w:r>
        <w:rPr>
          <w:rFonts w:cs="Times New Roman"/>
        </w:rPr>
        <w:t>6</w:t>
      </w:r>
      <w:r>
        <w:rPr>
          <w:rFonts w:cs="Times New Roman"/>
        </w:rPr>
        <w:fldChar w:fldCharType="end"/>
      </w:r>
      <w:r>
        <w:rPr>
          <w:rFonts w:cs="Times New Roman"/>
        </w:rPr>
        <w:t xml:space="preserve"> D/E/F在主政策域的共同可行性</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3"/>
        <w:gridCol w:w="1493"/>
        <w:gridCol w:w="1493"/>
        <w:gridCol w:w="1493"/>
        <w:gridCol w:w="1493"/>
        <w:gridCol w:w="1493"/>
      </w:tblGrid>
      <w:tr w14:paraId="65504994">
        <w:trPr>
          <w:jc w:val="center"/>
        </w:trPr>
        <w:tc>
          <w:tcPr>
            <w:tcW w:w="1493" w:type="dxa"/>
            <w:shd w:val="clear" w:color="auto" w:fill="D9EAF2"/>
            <w:vAlign w:val="center"/>
          </w:tcPr>
          <w:p w14:paraId="5CA3B5AD">
            <w:pPr>
              <w:spacing w:line="276" w:lineRule="auto"/>
              <w:ind w:firstLine="0"/>
              <w:jc w:val="center"/>
            </w:pPr>
            <w:r>
              <w:rPr>
                <w:rFonts w:cs="Times New Roman"/>
                <w:b/>
                <w:sz w:val="19"/>
              </w:rPr>
              <w:t>口径</w:t>
            </w:r>
          </w:p>
        </w:tc>
        <w:tc>
          <w:tcPr>
            <w:tcW w:w="1493" w:type="dxa"/>
            <w:shd w:val="clear" w:color="auto" w:fill="D9EAF2"/>
            <w:vAlign w:val="center"/>
          </w:tcPr>
          <w:p w14:paraId="0F7D9999">
            <w:pPr>
              <w:spacing w:line="276" w:lineRule="auto"/>
              <w:ind w:firstLine="0"/>
              <w:jc w:val="center"/>
            </w:pPr>
            <w:r>
              <w:rPr>
                <w:rFonts w:cs="Times New Roman"/>
                <w:b/>
                <w:sz w:val="19"/>
              </w:rPr>
              <w:t>D</w:t>
            </w:r>
          </w:p>
        </w:tc>
        <w:tc>
          <w:tcPr>
            <w:tcW w:w="1493" w:type="dxa"/>
            <w:shd w:val="clear" w:color="auto" w:fill="D9EAF2"/>
            <w:vAlign w:val="center"/>
          </w:tcPr>
          <w:p w14:paraId="607A3DB3">
            <w:pPr>
              <w:spacing w:line="276" w:lineRule="auto"/>
              <w:ind w:firstLine="0"/>
              <w:jc w:val="center"/>
            </w:pPr>
            <w:r>
              <w:rPr>
                <w:rFonts w:cs="Times New Roman"/>
                <w:b/>
                <w:sz w:val="19"/>
              </w:rPr>
              <w:t>E</w:t>
            </w:r>
          </w:p>
        </w:tc>
        <w:tc>
          <w:tcPr>
            <w:tcW w:w="1493" w:type="dxa"/>
            <w:shd w:val="clear" w:color="auto" w:fill="D9EAF2"/>
            <w:vAlign w:val="center"/>
          </w:tcPr>
          <w:p w14:paraId="4C9DE1EE">
            <w:pPr>
              <w:spacing w:line="276" w:lineRule="auto"/>
              <w:ind w:firstLine="0"/>
              <w:jc w:val="center"/>
            </w:pPr>
            <w:r>
              <w:rPr>
                <w:rFonts w:cs="Times New Roman"/>
                <w:b/>
                <w:sz w:val="19"/>
              </w:rPr>
              <w:t>F</w:t>
            </w:r>
          </w:p>
        </w:tc>
        <w:tc>
          <w:tcPr>
            <w:tcW w:w="1493" w:type="dxa"/>
            <w:shd w:val="clear" w:color="auto" w:fill="D9EAF2"/>
            <w:vAlign w:val="center"/>
          </w:tcPr>
          <w:p w14:paraId="5FF1427F">
            <w:pPr>
              <w:spacing w:line="276" w:lineRule="auto"/>
              <w:ind w:firstLine="0"/>
              <w:jc w:val="center"/>
            </w:pPr>
            <w:r>
              <w:rPr>
                <w:rFonts w:cs="Times New Roman"/>
                <w:b/>
                <w:sz w:val="19"/>
              </w:rPr>
              <w:t>E最小半径</w:t>
            </w:r>
          </w:p>
        </w:tc>
        <w:tc>
          <w:tcPr>
            <w:tcW w:w="1493" w:type="dxa"/>
            <w:shd w:val="clear" w:color="auto" w:fill="D9EAF2"/>
            <w:vAlign w:val="center"/>
          </w:tcPr>
          <w:p w14:paraId="4590F693">
            <w:pPr>
              <w:spacing w:line="276" w:lineRule="auto"/>
              <w:ind w:firstLine="0"/>
              <w:jc w:val="center"/>
            </w:pPr>
            <w:r>
              <w:rPr>
                <w:rFonts w:cs="Times New Roman"/>
                <w:b/>
                <w:sz w:val="19"/>
              </w:rPr>
              <w:t>共同中心</w:t>
            </w:r>
          </w:p>
        </w:tc>
      </w:tr>
      <w:tr w14:paraId="77155748">
        <w:trPr>
          <w:jc w:val="center"/>
        </w:trPr>
        <w:tc>
          <w:tcPr>
            <w:tcW w:w="1493" w:type="dxa"/>
            <w:vAlign w:val="center"/>
          </w:tcPr>
          <w:p w14:paraId="5423AD59">
            <w:pPr>
              <w:spacing w:line="276" w:lineRule="auto"/>
              <w:ind w:firstLine="0"/>
              <w:jc w:val="left"/>
            </w:pPr>
            <w:r>
              <w:rPr>
                <w:rFonts w:cs="Times New Roman"/>
                <w:sz w:val="19"/>
              </w:rPr>
              <w:t>Strict</w:t>
            </w:r>
          </w:p>
        </w:tc>
        <w:tc>
          <w:tcPr>
            <w:tcW w:w="1493" w:type="dxa"/>
            <w:vAlign w:val="center"/>
          </w:tcPr>
          <w:p w14:paraId="77BE0F76">
            <w:pPr>
              <w:spacing w:line="276" w:lineRule="auto"/>
              <w:ind w:firstLine="0"/>
              <w:jc w:val="left"/>
            </w:pPr>
            <w:r>
              <w:rPr>
                <w:rFonts w:cs="Times New Roman"/>
                <w:sz w:val="19"/>
              </w:rPr>
              <w:t>无</w:t>
            </w:r>
          </w:p>
        </w:tc>
        <w:tc>
          <w:tcPr>
            <w:tcW w:w="1493" w:type="dxa"/>
            <w:vAlign w:val="center"/>
          </w:tcPr>
          <w:p w14:paraId="516423CB">
            <w:pPr>
              <w:spacing w:line="276" w:lineRule="auto"/>
              <w:ind w:firstLine="0"/>
              <w:jc w:val="left"/>
            </w:pPr>
            <w:r>
              <w:rPr>
                <w:rFonts w:cs="Times New Roman"/>
                <w:sz w:val="19"/>
              </w:rPr>
              <w:t>有</w:t>
            </w:r>
          </w:p>
        </w:tc>
        <w:tc>
          <w:tcPr>
            <w:tcW w:w="1493" w:type="dxa"/>
            <w:vAlign w:val="center"/>
          </w:tcPr>
          <w:p w14:paraId="09BDFB64">
            <w:pPr>
              <w:spacing w:line="276" w:lineRule="auto"/>
              <w:ind w:firstLine="0"/>
              <w:jc w:val="left"/>
            </w:pPr>
            <w:r>
              <w:rPr>
                <w:rFonts w:cs="Times New Roman"/>
                <w:sz w:val="19"/>
              </w:rPr>
              <w:t>有</w:t>
            </w:r>
          </w:p>
        </w:tc>
        <w:tc>
          <w:tcPr>
            <w:tcW w:w="1493" w:type="dxa"/>
            <w:vAlign w:val="center"/>
          </w:tcPr>
          <w:p w14:paraId="5861DA3B">
            <w:pPr>
              <w:spacing w:line="276" w:lineRule="auto"/>
              <w:ind w:firstLine="0"/>
              <w:jc w:val="left"/>
            </w:pPr>
            <w:r>
              <w:rPr>
                <w:rFonts w:cs="Times New Roman"/>
                <w:sz w:val="19"/>
              </w:rPr>
              <w:t>0.009</w:t>
            </w:r>
          </w:p>
        </w:tc>
        <w:tc>
          <w:tcPr>
            <w:tcW w:w="1493" w:type="dxa"/>
            <w:vAlign w:val="center"/>
          </w:tcPr>
          <w:p w14:paraId="3CFDFE66">
            <w:pPr>
              <w:spacing w:line="276" w:lineRule="auto"/>
              <w:ind w:firstLine="0"/>
              <w:jc w:val="left"/>
            </w:pPr>
            <w:r>
              <w:rPr>
                <w:rFonts w:cs="Times New Roman"/>
                <w:sz w:val="19"/>
              </w:rPr>
              <w:t>0.227</w:t>
            </w:r>
          </w:p>
        </w:tc>
      </w:tr>
      <w:tr w14:paraId="3A92F92B">
        <w:trPr>
          <w:jc w:val="center"/>
        </w:trPr>
        <w:tc>
          <w:tcPr>
            <w:tcW w:w="1493" w:type="dxa"/>
            <w:vAlign w:val="center"/>
          </w:tcPr>
          <w:p w14:paraId="08C26942">
            <w:pPr>
              <w:spacing w:line="276" w:lineRule="auto"/>
              <w:ind w:firstLine="0"/>
              <w:jc w:val="left"/>
            </w:pPr>
            <w:r>
              <w:rPr>
                <w:rFonts w:cs="Times New Roman"/>
                <w:sz w:val="19"/>
              </w:rPr>
              <w:t>Extended</w:t>
            </w:r>
          </w:p>
        </w:tc>
        <w:tc>
          <w:tcPr>
            <w:tcW w:w="1493" w:type="dxa"/>
            <w:vAlign w:val="center"/>
          </w:tcPr>
          <w:p w14:paraId="254CC572">
            <w:pPr>
              <w:spacing w:line="276" w:lineRule="auto"/>
              <w:ind w:firstLine="0"/>
              <w:jc w:val="left"/>
            </w:pPr>
            <w:r>
              <w:rPr>
                <w:rFonts w:cs="Times New Roman"/>
                <w:sz w:val="19"/>
              </w:rPr>
              <w:t>无</w:t>
            </w:r>
          </w:p>
        </w:tc>
        <w:tc>
          <w:tcPr>
            <w:tcW w:w="1493" w:type="dxa"/>
            <w:vAlign w:val="center"/>
          </w:tcPr>
          <w:p w14:paraId="0D3F704C">
            <w:pPr>
              <w:spacing w:line="276" w:lineRule="auto"/>
              <w:ind w:firstLine="0"/>
              <w:jc w:val="left"/>
            </w:pPr>
            <w:r>
              <w:rPr>
                <w:rFonts w:cs="Times New Roman"/>
                <w:sz w:val="19"/>
              </w:rPr>
              <w:t>有</w:t>
            </w:r>
          </w:p>
        </w:tc>
        <w:tc>
          <w:tcPr>
            <w:tcW w:w="1493" w:type="dxa"/>
            <w:vAlign w:val="center"/>
          </w:tcPr>
          <w:p w14:paraId="55C3CAD5">
            <w:pPr>
              <w:spacing w:line="276" w:lineRule="auto"/>
              <w:ind w:firstLine="0"/>
              <w:jc w:val="left"/>
            </w:pPr>
            <w:r>
              <w:rPr>
                <w:rFonts w:cs="Times New Roman"/>
                <w:sz w:val="19"/>
              </w:rPr>
              <w:t>有</w:t>
            </w:r>
          </w:p>
        </w:tc>
        <w:tc>
          <w:tcPr>
            <w:tcW w:w="1493" w:type="dxa"/>
            <w:vAlign w:val="center"/>
          </w:tcPr>
          <w:p w14:paraId="53492232">
            <w:pPr>
              <w:spacing w:line="276" w:lineRule="auto"/>
              <w:ind w:firstLine="0"/>
              <w:jc w:val="left"/>
            </w:pPr>
            <w:r>
              <w:rPr>
                <w:rFonts w:cs="Times New Roman"/>
                <w:sz w:val="19"/>
              </w:rPr>
              <w:t>0.009</w:t>
            </w:r>
          </w:p>
        </w:tc>
        <w:tc>
          <w:tcPr>
            <w:tcW w:w="1493" w:type="dxa"/>
            <w:vAlign w:val="center"/>
          </w:tcPr>
          <w:p w14:paraId="37B1C9AE">
            <w:pPr>
              <w:spacing w:line="276" w:lineRule="auto"/>
              <w:ind w:firstLine="0"/>
              <w:jc w:val="left"/>
            </w:pPr>
            <w:r>
              <w:rPr>
                <w:rFonts w:cs="Times New Roman"/>
                <w:sz w:val="19"/>
              </w:rPr>
              <w:t>0.227</w:t>
            </w:r>
          </w:p>
        </w:tc>
      </w:tr>
    </w:tbl>
    <w:p w14:paraId="336DC21C"/>
    <w:p w14:paraId="14BC7DB2">
      <w:r>
        <w:rPr>
          <w:rFonts w:cs="Times New Roman"/>
        </w:rPr>
        <w:t>两种口径给出相同的架构判断：仅允许内部构成差异的D不足以形成共同解，允许非智育总权重小幅组别差异的E和F可以形成学业稳定候选。E与F可能包含相同实际权重向量，架构标签本身不产生额外统计收益。</w:t>
      </w:r>
    </w:p>
    <w:p w14:paraId="1E2EE11F">
      <w:pPr>
        <w:pStyle w:val="4"/>
      </w:pPr>
      <w:bookmarkStart w:id="49" w:name="_Toc240540931"/>
      <w:r>
        <w:rPr>
          <w:rFonts w:ascii="Times New Roman" w:hAnsi="Times New Roman" w:eastAsia="黑体" w:cs="Times New Roman"/>
        </w:rPr>
        <w:t>7.5 平衡与全面发展情景</w:t>
      </w:r>
      <w:bookmarkEnd w:id="49"/>
    </w:p>
    <w:p w14:paraId="077F125F">
      <w:r>
        <w:rPr>
          <w:rFonts w:cs="Times New Roman"/>
        </w:rPr>
        <w:t>主政策域中，Strict和Extended的平衡、全面发展情景均无D/E/F共同可行候选。扩大到“各学院相对现行权重不增加”的离散域后，E/F出现代表性可行组合；Strict的E半径为0.001、0.0145和0.021，Extended为0.001、0.0145和0.0215，分别对应学业稳定、平衡和全面发展。该域包含主网格0.001步长及既有扩展点0.005步长，边界应按混合分辨率解释。</w:t>
      </w:r>
    </w:p>
    <w:p w14:paraId="30F06B27">
      <w:pPr>
        <w:keepNext/>
        <w:ind w:firstLine="0"/>
        <w:jc w:val="center"/>
      </w:pPr>
      <w:r>
        <w:drawing>
          <wp:inline distT="0" distB="0" distL="0" distR="0">
            <wp:extent cx="5471795" cy="2197100"/>
            <wp:effectExtent l="0" t="0" r="0" b="0"/>
            <wp:docPr id="5" name="Picture 5" descr="学院差异化的最小离散边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学院差异化的最小离散边界"/>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5472000" cy="2197440"/>
                    </a:xfrm>
                    <a:prstGeom prst="rect">
                      <a:avLst/>
                    </a:prstGeom>
                  </pic:spPr>
                </pic:pic>
              </a:graphicData>
            </a:graphic>
          </wp:inline>
        </w:drawing>
      </w:r>
    </w:p>
    <w:p w14:paraId="124B8A31">
      <w:pPr>
        <w:pStyle w:val="15"/>
      </w:pPr>
      <w:r>
        <w:rPr>
          <w:rFonts w:cs="Times New Roman"/>
        </w:rPr>
        <w:t xml:space="preserve">图 </w:t>
      </w:r>
      <w:r>
        <w:rPr>
          <w:rFonts w:cs="Times New Roman"/>
        </w:rPr>
        <w:fldChar w:fldCharType="begin"/>
      </w:r>
      <w:r>
        <w:rPr>
          <w:rFonts w:cs="Times New Roman"/>
        </w:rPr>
        <w:instrText xml:space="preserve">SEQ Figure \* ARABIC</w:instrText>
      </w:r>
      <w:r>
        <w:rPr>
          <w:rFonts w:cs="Times New Roman"/>
        </w:rPr>
        <w:fldChar w:fldCharType="separate"/>
      </w:r>
      <w:r>
        <w:rPr>
          <w:rFonts w:cs="Times New Roman"/>
        </w:rPr>
        <w:t>5</w:t>
      </w:r>
      <w:r>
        <w:rPr>
          <w:rFonts w:cs="Times New Roman"/>
        </w:rPr>
        <w:fldChar w:fldCharType="end"/>
      </w:r>
      <w:r>
        <w:rPr>
          <w:rFonts w:cs="Times New Roman"/>
        </w:rPr>
        <w:t xml:space="preserve"> 学院差异化的最小离散边界</w:t>
      </w:r>
    </w:p>
    <w:p w14:paraId="7701372A">
      <w:r>
        <w:rPr>
          <w:rFonts w:cs="Times New Roman"/>
        </w:rPr>
        <w:t>图5显示，主域学业稳定边界对加入生科有效单元不敏感；相对不增域的全面发展边界从0.021变为0.0215，表明更严格功能保留对样本构成略敏感。主域中平衡与全面发展仍为无解，不能用扩展域结果替代。</w:t>
      </w:r>
    </w:p>
    <w:p w14:paraId="04AE3D66">
      <w:pPr>
        <w:pStyle w:val="4"/>
      </w:pPr>
      <w:bookmarkStart w:id="50" w:name="_Toc240540932"/>
      <w:r>
        <w:rPr>
          <w:rFonts w:ascii="Times New Roman" w:hAnsi="Times New Roman" w:eastAsia="黑体" w:cs="Times New Roman"/>
        </w:rPr>
        <w:t>7.6 统一程度与Pareto</w:t>
      </w:r>
      <w:bookmarkEnd w:id="50"/>
    </w:p>
    <w:p w14:paraId="2B761E57">
      <w:r>
        <w:rPr>
          <w:rFonts w:cs="Times New Roman"/>
        </w:rPr>
        <w:t xml:space="preserve">差异化候选按 </w:t>
      </w:r>
      <m:oMath>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α</m:t>
            </m:r>
            <m:ctrlPr>
              <w:rPr>
                <w:rFonts w:ascii="Cambria Math" w:hAnsi="Cambria Math"/>
              </w:rPr>
            </m:ctrlPr>
          </m:sub>
        </m:sSub>
      </m:oMath>
      <w:r>
        <w:rPr>
          <w:rFonts w:cs="Times New Roman"/>
          <w:vanish/>
          <w:sz w:val="2"/>
        </w:rPr>
        <w:t>[AxMath LaTeX: \Delta_\alpha]</w:t>
      </w:r>
      <w:r>
        <w:rPr>
          <w:rFonts w:cs="Times New Roman"/>
        </w:rPr>
        <w:t>、</w:t>
      </w:r>
      <m:oMath>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β</m:t>
            </m:r>
            <m:ctrlPr>
              <w:rPr>
                <w:rFonts w:ascii="Cambria Math" w:hAnsi="Cambria Math"/>
              </w:rPr>
            </m:ctrlPr>
          </m:sub>
        </m:sSub>
      </m:oMath>
      <w:r>
        <w:rPr>
          <w:rFonts w:cs="Times New Roman"/>
          <w:vanish/>
          <w:sz w:val="2"/>
        </w:rPr>
        <w:t>[AxMath LaTeX: \Delta_\beta]</w:t>
      </w:r>
      <w:r>
        <w:rPr>
          <w:rFonts w:cs="Times New Roman"/>
        </w:rPr>
        <w:t>、5—10分逆转最坏值、Top20退出最坏值、最低补偿损失和Top20智育流失最坏值进行严格非支配筛选。主域无解情景的正式可行Pareto为空；不可行代表仅用于诊断冲突。现有结果覆盖保存的代表候选库，并未穷举所有学院权重笛卡尔积，因此“未被代表库支配”不等于连续空间全局非支配。</w:t>
      </w:r>
    </w:p>
    <w:p w14:paraId="68FDBD80">
      <w:pPr>
        <w:pStyle w:val="4"/>
      </w:pPr>
      <w:bookmarkStart w:id="51" w:name="_Toc240540933"/>
      <w:r>
        <w:rPr>
          <w:rFonts w:ascii="Times New Roman" w:hAnsi="Times New Roman" w:eastAsia="黑体" w:cs="Times New Roman"/>
        </w:rPr>
        <w:t>7.7 本章小结</w:t>
      </w:r>
      <w:bookmarkEnd w:id="51"/>
    </w:p>
    <w:p w14:paraId="695BD41B">
      <w:r>
        <w:rPr>
          <w:rFonts w:cs="Times New Roman"/>
        </w:rPr>
        <w:t>有限组别差异在学业稳定目标下具有明确统计价值：释放非智育总权重而不是只释放内部构成，能够恢复共同可行候选。平衡和全面发展在主政策域仍无解，说明学院差异化不会自动消除全部制度冲突。</w:t>
      </w:r>
    </w:p>
    <w:p w14:paraId="02E4EC46">
      <w:pPr>
        <w:pStyle w:val="3"/>
      </w:pPr>
      <w:bookmarkStart w:id="52" w:name="_Toc240540934"/>
      <w:r>
        <w:rPr>
          <w:rFonts w:ascii="Times New Roman" w:hAnsi="Times New Roman" w:eastAsia="黑体" w:cs="Times New Roman"/>
        </w:rPr>
        <w:t>8 非线性综合评价机制反事实比较</w:t>
      </w:r>
      <w:bookmarkEnd w:id="52"/>
    </w:p>
    <w:p w14:paraId="2348F274">
      <w:pPr>
        <w:pStyle w:val="4"/>
      </w:pPr>
      <w:bookmarkStart w:id="53" w:name="_Toc240540935"/>
      <w:r>
        <w:rPr>
          <w:rFonts w:ascii="Times New Roman" w:hAnsi="Times New Roman" w:eastAsia="黑体" w:cs="Times New Roman"/>
        </w:rPr>
        <w:t>8.1 比较范围</w:t>
      </w:r>
      <w:bookmarkEnd w:id="53"/>
    </w:p>
    <w:p w14:paraId="408A0863">
      <w:r>
        <w:rPr>
          <w:rFonts w:cs="Times New Roman"/>
        </w:rPr>
        <w:t>非线性候选保持原参数设计，共69项：3个线性基准、16类资格门槛、45组递减奖励和5组贡献封顶。所有候选均在Strict与Extended上独立计算，没有选择性删除表现较差方案。跨架构Pareto采用5项目标：5—10分逆转最坏值、Top20退出最坏值、Top20智育流失最坏值、最低补偿损失和资格排除率；非门槛方案的资格排除率为0。</w:t>
      </w:r>
    </w:p>
    <w:p w14:paraId="0A7089F2">
      <w:pPr>
        <w:pStyle w:val="4"/>
      </w:pPr>
      <w:bookmarkStart w:id="54" w:name="_Toc240540936"/>
      <w:r>
        <w:rPr>
          <w:rFonts w:ascii="Times New Roman" w:hAnsi="Times New Roman" w:eastAsia="黑体" w:cs="Times New Roman"/>
        </w:rPr>
        <w:t>8.2 资格门槛</w:t>
      </w:r>
      <w:bookmarkEnd w:id="54"/>
    </w:p>
    <w:p w14:paraId="1A68C370">
      <w:r>
        <w:rPr>
          <w:rFonts w:cs="Times New Roman"/>
        </w:rPr>
        <w:t>门槛采用P5、P10、P20、P70、P75、P80、P85和P90，并分别以学院内和排序单元内分位为参照。学生须同时达到德育和发展素质门槛才进入资格集合：</w:t>
      </w:r>
    </w:p>
    <w:p w14:paraId="401E4DD8">
      <w:pPr>
        <w:pStyle w:val="167"/>
        <w:tabs>
          <w:tab w:val="center" w:pos="4479"/>
          <w:tab w:val="right" w:pos="8957"/>
        </w:tabs>
        <w:ind w:left="0" w:right="0"/>
        <w:jc w:val="left"/>
      </w:pPr>
      <w:r>
        <w:tab/>
      </w:r>
      <m:oMath>
        <m:sSub>
          <m:sSubPr/>
          <m:e>
            <m:r>
              <m:rPr/>
              <m:t>Z</m:t>
            </m:r>
          </m:e>
          <m:sub>
            <m:r>
              <m:rPr/>
              <m:t>i</m:t>
            </m:r>
          </m:sub>
        </m:sSub>
        <m:r>
          <m:rPr/>
          <m:t>=I{</m:t>
        </m:r>
        <m:sSub>
          <m:sSubPr/>
          <m:e>
            <m:r>
              <m:rPr/>
              <m:t>D</m:t>
            </m:r>
          </m:e>
          <m:sub>
            <m:r>
              <m:rPr/>
              <m:t>i</m:t>
            </m:r>
          </m:sub>
        </m:sSub>
        <m:r>
          <m:rPr/>
          <m:t>≥</m:t>
        </m:r>
        <m:sSub>
          <m:sSubPr/>
          <m:e>
            <m:r>
              <m:rPr/>
              <m:t>Q</m:t>
            </m:r>
          </m:e>
          <m:sub>
            <m:r>
              <m:rPr/>
              <m:t>p</m:t>
            </m:r>
          </m:sub>
        </m:sSub>
        <m:r>
          <m:rPr/>
          <m:t>(D),</m:t>
        </m:r>
        <m:r>
          <m:rPr>
            <m:sty m:val="p"/>
          </m:rPr>
          <m:t> </m:t>
        </m:r>
        <m:sSub>
          <m:sSubPr/>
          <m:e>
            <m:r>
              <m:rPr/>
              <m:t>E</m:t>
            </m:r>
          </m:e>
          <m:sub>
            <m:r>
              <m:rPr/>
              <m:t>i</m:t>
            </m:r>
          </m:sub>
        </m:sSub>
        <m:r>
          <m:rPr/>
          <m:t>≥</m:t>
        </m:r>
        <m:sSub>
          <m:sSubPr/>
          <m:e>
            <m:r>
              <m:rPr/>
              <m:t>Q</m:t>
            </m:r>
          </m:e>
          <m:sub>
            <m:r>
              <m:rPr/>
              <m:t>p</m:t>
            </m:r>
          </m:sub>
        </m:sSub>
        <m:r>
          <m:rPr/>
          <m:t>(E)}.</m:t>
        </m:r>
      </m:oMath>
      <w:r>
        <w:rPr>
          <w:rFonts w:ascii="Times New Roman" w:hAnsi="Times New Roman" w:cs="Times New Roman"/>
        </w:rPr>
        <w:tab/>
      </w:r>
      <w:r>
        <w:rPr>
          <w:rFonts w:ascii="Times New Roman" w:hAnsi="Times New Roman" w:cs="Times New Roman"/>
        </w:rPr>
        <w:t>(8-1)</w:t>
      </w:r>
      <w:r>
        <w:rPr>
          <w:rFonts w:ascii="Times New Roman" w:hAnsi="Times New Roman" w:cs="Times New Roman"/>
          <w:vanish/>
          <w:sz w:val="2"/>
        </w:rPr>
        <w:t>[AxMath LaTeX: Z_i=I\{D_i\ge Q_p(D),\ E_i\ge Q_p(E)\}. \tag{8-1}]</w:t>
      </w:r>
    </w:p>
    <w:p w14:paraId="775F13F9">
      <w:r>
        <w:rPr>
          <w:rFonts w:cs="Times New Roman"/>
        </w:rPr>
        <w:t>合格者按连续分排序，不合格者置于其后。Strict门槛资格排除率为6.90%—93.87%，Extended为7.06%—93.80%。高门槛可以显著改变逆转指标，但同时改变竞争资格集合；资格排除是制度代价，不应被排序改善掩盖。</w:t>
      </w:r>
    </w:p>
    <w:p w14:paraId="158E29BA">
      <w:pPr>
        <w:pStyle w:val="4"/>
      </w:pPr>
      <w:bookmarkStart w:id="55" w:name="_Toc240540937"/>
      <w:r>
        <w:rPr>
          <w:rFonts w:ascii="Times New Roman" w:hAnsi="Times New Roman" w:eastAsia="黑体" w:cs="Times New Roman"/>
        </w:rPr>
        <w:t>8.3 递减奖励</w:t>
      </w:r>
      <w:bookmarkEnd w:id="55"/>
    </w:p>
    <w:p w14:paraId="09E37833">
      <w:r>
        <w:rPr>
          <w:rFonts w:cs="Times New Roman"/>
        </w:rPr>
        <w:t>递减方案在Q70、Q80、Q90设置拐点，高段边际系数取0、0.25、0.50、0.75和1，分别作用于D、E或D/E，共45组。其理论基础是分段线性价值函数和边际价值递减[11,12]。系数1退回原分项，系数越小表示高段追加分的排序作用越弱；这些档位是情景参数，不是经行为数据估计的效用函数。</w:t>
      </w:r>
    </w:p>
    <w:p w14:paraId="7686F5C5">
      <w:pPr>
        <w:pStyle w:val="4"/>
      </w:pPr>
      <w:bookmarkStart w:id="56" w:name="_Toc240540938"/>
      <w:r>
        <w:rPr>
          <w:rFonts w:ascii="Times New Roman" w:hAnsi="Times New Roman" w:eastAsia="黑体" w:cs="Times New Roman"/>
        </w:rPr>
        <w:t>8.4 非智育贡献封顶</w:t>
      </w:r>
      <w:bookmarkEnd w:id="56"/>
    </w:p>
    <w:p w14:paraId="328F7E14">
      <w:r>
        <w:rPr>
          <w:rFonts w:cs="Times New Roman"/>
        </w:rPr>
        <w:t>封顶方案按P75、P80、P85、P90和P95限制非智育总贡献，模拟高分段饱和。封顶与门槛的区别在于：前者保留全部学生资格并压缩极端贡献，后者先改变资格集合。分项贡献的拆分只作描述性分摊，不能据此识别德育或发展素质的独立因果作用。</w:t>
      </w:r>
    </w:p>
    <w:p w14:paraId="45E49451">
      <w:pPr>
        <w:pStyle w:val="4"/>
      </w:pPr>
      <w:bookmarkStart w:id="57" w:name="_Toc240540939"/>
      <w:r>
        <w:rPr>
          <w:rFonts w:ascii="Times New Roman" w:hAnsi="Times New Roman" w:eastAsia="黑体" w:cs="Times New Roman"/>
        </w:rPr>
        <w:t>8.5 跨架构Pareto</w:t>
      </w:r>
      <w:bookmarkEnd w:id="57"/>
    </w:p>
    <w:p w14:paraId="6D1AB31A">
      <w:r>
        <w:rPr>
          <w:rFonts w:cs="Times New Roman"/>
        </w:rPr>
        <w:t>Strict有20个五目标非支配候选，Extended有29个。Pareto候选增多说明加入生科有效单元后权衡结构更分散，不表示Extended方案整体更优。非支配关系只在69项正式候选库和既定目标中成立，实施成本没有进入数值Pareto。</w:t>
      </w:r>
    </w:p>
    <w:p w14:paraId="3455D7D2">
      <w:pPr>
        <w:pStyle w:val="4"/>
      </w:pPr>
      <w:bookmarkStart w:id="58" w:name="_Toc240540940"/>
      <w:r>
        <w:rPr>
          <w:rFonts w:ascii="Times New Roman" w:hAnsi="Times New Roman" w:eastAsia="黑体" w:cs="Times New Roman"/>
        </w:rPr>
        <w:t>8.6 严格支配检验</w:t>
      </w:r>
      <w:bookmarkEnd w:id="58"/>
    </w:p>
    <w:p w14:paraId="5C455201">
      <w:r>
        <w:rPr>
          <w:rFonts w:cs="Times New Roman"/>
        </w:rPr>
        <w:t xml:space="preserve">以容差 </w:t>
      </w:r>
      <m:oMath>
        <m:sSup>
          <m:sSupPr>
            <m:ctrlPr>
              <w:rPr>
                <w:rFonts w:ascii="Cambria Math" w:hAnsi="Cambria Math"/>
              </w:rPr>
            </m:ctrlPr>
          </m:sSupPr>
          <m:e>
            <m:r>
              <m:rPr/>
              <w:rPr>
                <w:rFonts w:ascii="Cambria Math" w:hAnsi="Cambria Math"/>
              </w:rPr>
              <m:t>10</m:t>
            </m:r>
            <m:ctrlPr>
              <w:rPr>
                <w:rFonts w:ascii="Cambria Math" w:hAnsi="Cambria Math"/>
              </w:rPr>
            </m:ctrlPr>
          </m:e>
          <m:sup>
            <m:r>
              <m:rPr/>
              <w:rPr>
                <w:rFonts w:ascii="Cambria Math" w:hAnsi="Cambria Math"/>
              </w:rPr>
              <m:t>−10</m:t>
            </m:r>
            <m:ctrlPr>
              <w:rPr>
                <w:rFonts w:ascii="Cambria Math" w:hAnsi="Cambria Math"/>
              </w:rPr>
            </m:ctrlPr>
          </m:sup>
        </m:sSup>
      </m:oMath>
      <w:r>
        <w:rPr>
          <w:rFonts w:cs="Times New Roman"/>
          <w:vanish/>
          <w:sz w:val="2"/>
        </w:rPr>
        <w:t>[AxMath LaTeX: 10^{-10}]</w:t>
      </w:r>
      <w:r>
        <w:rPr>
          <w:rFonts w:cs="Times New Roman"/>
        </w:rPr>
        <w:t xml:space="preserve"> 判定，Strict和Extended均有8个非线性方案严格支配同比减少2.5个百分点基准：D递减Q90系数0.25和0.50，E递减Q90系数0.50，D/E双递减Q90系数0.50，D、E、D/E递减Q90系数0.75，以及封顶P95。对同比减少5个百分点基准，两种口径均无严格支配方案。</w:t>
      </w:r>
    </w:p>
    <w:p w14:paraId="72999C6C">
      <w:pPr>
        <w:keepNext/>
        <w:ind w:firstLine="0"/>
        <w:jc w:val="center"/>
      </w:pPr>
      <w:r>
        <w:drawing>
          <wp:inline distT="0" distB="0" distL="0" distR="0">
            <wp:extent cx="5471795" cy="2197100"/>
            <wp:effectExtent l="0" t="0" r="0" b="0"/>
            <wp:docPr id="6" name="Picture 6" descr="非线性候选的Pareto规模与门槛代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非线性候选的Pareto规模与门槛代价"/>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5472000" cy="2197440"/>
                    </a:xfrm>
                    <a:prstGeom prst="rect">
                      <a:avLst/>
                    </a:prstGeom>
                  </pic:spPr>
                </pic:pic>
              </a:graphicData>
            </a:graphic>
          </wp:inline>
        </w:drawing>
      </w:r>
    </w:p>
    <w:p w14:paraId="0A12C88F">
      <w:pPr>
        <w:pStyle w:val="15"/>
      </w:pPr>
      <w:r>
        <w:rPr>
          <w:rFonts w:cs="Times New Roman"/>
        </w:rPr>
        <w:t xml:space="preserve">图 </w:t>
      </w:r>
      <w:r>
        <w:rPr>
          <w:rFonts w:cs="Times New Roman"/>
        </w:rPr>
        <w:fldChar w:fldCharType="begin"/>
      </w:r>
      <w:r>
        <w:rPr>
          <w:rFonts w:cs="Times New Roman"/>
        </w:rPr>
        <w:instrText xml:space="preserve">SEQ Figure \* ARABIC</w:instrText>
      </w:r>
      <w:r>
        <w:rPr>
          <w:rFonts w:cs="Times New Roman"/>
        </w:rPr>
        <w:fldChar w:fldCharType="separate"/>
      </w:r>
      <w:r>
        <w:rPr>
          <w:rFonts w:cs="Times New Roman"/>
        </w:rPr>
        <w:t>6</w:t>
      </w:r>
      <w:r>
        <w:rPr>
          <w:rFonts w:cs="Times New Roman"/>
        </w:rPr>
        <w:fldChar w:fldCharType="end"/>
      </w:r>
      <w:r>
        <w:rPr>
          <w:rFonts w:cs="Times New Roman"/>
        </w:rPr>
        <w:t xml:space="preserve"> 非线性候选的Pareto规模与门槛代价</w:t>
      </w:r>
    </w:p>
    <w:p w14:paraId="0DA4CA07">
      <w:r>
        <w:rPr>
          <w:rFonts w:cs="Times New Roman"/>
        </w:rPr>
        <w:t>图6左侧显示，样本扩展使Pareto候选由20增至29，但严格支配较小线性降幅的候选数仍为8；右侧显示门槛排除范围几乎覆盖7%至94%。这组证据支持“部分非线性方案优于较小线性调整”，不支持“复杂机制普遍优于简单线性降权”。</w:t>
      </w:r>
    </w:p>
    <w:p w14:paraId="05E72B3D">
      <w:pPr>
        <w:pStyle w:val="4"/>
      </w:pPr>
      <w:bookmarkStart w:id="59" w:name="_Toc240540941"/>
      <w:r>
        <w:rPr>
          <w:rFonts w:ascii="Times New Roman" w:hAnsi="Times New Roman" w:eastAsia="黑体" w:cs="Times New Roman"/>
        </w:rPr>
        <w:t>8.7 制度复杂度与统计收益</w:t>
      </w:r>
      <w:bookmarkEnd w:id="59"/>
    </w:p>
    <w:p w14:paraId="10727B96">
      <w:r>
        <w:rPr>
          <w:rFonts w:cs="Times New Roman"/>
        </w:rPr>
        <w:t>线性同比调整只需要改变三项权重；递减和封顶需要定义分位、拐点或上限；门槛还需要管理资格边界、并列和申诉。Strict与Extended均显示，复杂机制能够改善特定五目标组合，却没有全面替代5个百分点线性基准。制度复杂度未被压缩成伪精确分数，而作为解释Pareto结果时的独立实施条件。</w:t>
      </w:r>
    </w:p>
    <w:p w14:paraId="12FBD45B">
      <w:pPr>
        <w:pStyle w:val="4"/>
      </w:pPr>
      <w:bookmarkStart w:id="60" w:name="_Toc240540942"/>
      <w:r>
        <w:rPr>
          <w:rFonts w:ascii="Times New Roman" w:hAnsi="Times New Roman" w:eastAsia="黑体" w:cs="Times New Roman"/>
        </w:rPr>
        <w:t>8.8 本章小结</w:t>
      </w:r>
      <w:bookmarkEnd w:id="60"/>
    </w:p>
    <w:p w14:paraId="620E56A3">
      <w:r>
        <w:rPr>
          <w:rFonts w:cs="Times New Roman"/>
        </w:rPr>
        <w:t>非线性机制的价值取决于比较基准。8个方案在两种合法口径中稳定支配2.5个百分点线性基准，但没有方案支配5个百分点基准；门槛机制尤其需要同时报告资格排除代价。</w:t>
      </w:r>
    </w:p>
    <w:p w14:paraId="5B1E922A">
      <w:pPr>
        <w:pStyle w:val="3"/>
      </w:pPr>
      <w:bookmarkStart w:id="61" w:name="_Toc240540943"/>
      <w:r>
        <w:rPr>
          <w:rFonts w:ascii="Times New Roman" w:hAnsi="Times New Roman" w:eastAsia="黑体" w:cs="Times New Roman"/>
        </w:rPr>
        <w:t>9 鲁棒性与独立复核</w:t>
      </w:r>
      <w:bookmarkEnd w:id="61"/>
    </w:p>
    <w:p w14:paraId="3EDA4520">
      <w:pPr>
        <w:pStyle w:val="4"/>
      </w:pPr>
      <w:bookmarkStart w:id="62" w:name="_Toc240540944"/>
      <w:r>
        <w:rPr>
          <w:rFonts w:ascii="Times New Roman" w:hAnsi="Times New Roman" w:eastAsia="黑体" w:cs="Times New Roman"/>
        </w:rPr>
        <w:t>9.1 压力测试设计</w:t>
      </w:r>
      <w:bookmarkEnd w:id="62"/>
    </w:p>
    <w:p w14:paraId="569ABDBB">
      <w:r>
        <w:rPr>
          <w:rFonts w:cs="Times New Roman"/>
        </w:rPr>
        <w:t>代表方案由新的差异化和非线性Pareto结果重选。Strict包含8个代表方案并形成270个场景，Extended包含9个代表方案并形成346个场景。压力类型包括并列规则、舍入、留一排序单元、留一年级、样本量阈值、线性权重扰动和非线性参数扰动。方案参数固定，不在每个场景中重新优化。</w:t>
      </w:r>
    </w:p>
    <w:p w14:paraId="096D985D">
      <w:pPr>
        <w:pStyle w:val="4"/>
      </w:pPr>
      <w:bookmarkStart w:id="63" w:name="_Toc240540945"/>
      <w:r>
        <w:rPr>
          <w:rFonts w:ascii="Times New Roman" w:hAnsi="Times New Roman" w:eastAsia="黑体" w:cs="Times New Roman"/>
        </w:rPr>
        <w:t>9.2 并列、舍入与样本删除</w:t>
      </w:r>
      <w:bookmarkEnd w:id="63"/>
    </w:p>
    <w:p w14:paraId="4C7ACAB4">
      <w:r>
        <w:rPr>
          <w:rFonts w:cs="Times New Roman"/>
        </w:rPr>
        <w:t>并列规则分别采用最小秩、平均秩和最大秩；舍入分别采用原始值、2位和1位小数。留一排序单元和留一年级直接删除相应记录后重算指标，用于检查代表方案是否依赖某个局部单元。样本阈值只保留人数达到20、30和50的单元；覆盖不足全部合法组别时，组别最坏值记为NA。</w:t>
      </w:r>
    </w:p>
    <w:p w14:paraId="1DBF2798">
      <w:pPr>
        <w:pStyle w:val="4"/>
      </w:pPr>
      <w:bookmarkStart w:id="64" w:name="_Toc240540946"/>
      <w:r>
        <w:rPr>
          <w:rFonts w:ascii="Times New Roman" w:hAnsi="Times New Roman" w:eastAsia="黑体" w:cs="Times New Roman"/>
        </w:rPr>
        <w:t>9.3 权重与参数扰动</w:t>
      </w:r>
      <w:bookmarkEnd w:id="64"/>
    </w:p>
    <w:p w14:paraId="495EC1A4">
      <w:r>
        <w:rPr>
          <w:rFonts w:cs="Times New Roman"/>
        </w:rPr>
        <w:t xml:space="preserve">线性和学院异质代表方案对 </w:t>
      </w:r>
      <m:oMath>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D</m:t>
            </m:r>
            <m:ctrlPr>
              <w:rPr>
                <w:rFonts w:ascii="Cambria Math" w:hAnsi="Cambria Math"/>
              </w:rPr>
            </m:ctrlPr>
          </m:sub>
        </m:sSub>
      </m:oMath>
      <w:r>
        <w:rPr>
          <w:rFonts w:cs="Times New Roman"/>
          <w:vanish/>
          <w:sz w:val="2"/>
        </w:rPr>
        <w:t>[AxMath LaTeX: w_D]</w:t>
      </w:r>
      <w:r>
        <w:rPr>
          <w:rFonts w:cs="Times New Roman"/>
        </w:rPr>
        <w:t xml:space="preserve"> 与 </w:t>
      </w:r>
      <m:oMath>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E</m:t>
            </m:r>
            <m:ctrlPr>
              <w:rPr>
                <w:rFonts w:ascii="Cambria Math" w:hAnsi="Cambria Math"/>
              </w:rPr>
            </m:ctrlPr>
          </m:sub>
        </m:sSub>
      </m:oMath>
      <w:r>
        <w:rPr>
          <w:rFonts w:cs="Times New Roman"/>
          <w:vanish/>
          <w:sz w:val="2"/>
        </w:rPr>
        <w:t>[AxMath LaTeX: w_E]</w:t>
      </w:r>
      <w:r>
        <w:rPr>
          <w:rFonts w:cs="Times New Roman"/>
        </w:rPr>
        <w:t xml:space="preserve"> 分别施加 </w:t>
      </w:r>
      <m:oMath>
        <m:r>
          <m:rPr/>
          <w:rPr>
            <w:rFonts w:ascii="Cambria Math" w:hAnsi="Cambria Math"/>
          </w:rPr>
          <m:t>±0.005</m:t>
        </m:r>
      </m:oMath>
      <w:r>
        <w:rPr>
          <w:rFonts w:cs="Times New Roman"/>
          <w:vanish/>
          <w:sz w:val="2"/>
        </w:rPr>
        <w:t>[AxMath LaTeX: \pm0.005]</w:t>
      </w:r>
      <w:r>
        <w:rPr>
          <w:rFonts w:cs="Times New Roman"/>
        </w:rPr>
        <w:t xml:space="preserve"> 的共同位移，并重新检查权重合法性和制度边界；非线性代表按相邻正式档位扰动。该设计是规则敏感性测试，不是参数抽样分布，也不赋予场景发生概率。</w:t>
      </w:r>
    </w:p>
    <w:p w14:paraId="378ED65A">
      <w:pPr>
        <w:pStyle w:val="4"/>
      </w:pPr>
      <w:bookmarkStart w:id="65" w:name="_Toc240540947"/>
      <w:r>
        <w:rPr>
          <w:rFonts w:ascii="Times New Roman" w:hAnsi="Times New Roman" w:eastAsia="黑体" w:cs="Times New Roman"/>
        </w:rPr>
        <w:t>9.4 学业稳定情景的鲁棒性</w:t>
      </w:r>
      <w:bookmarkEnd w:id="65"/>
    </w:p>
    <w:p w14:paraId="7DC21462">
      <w:pPr>
        <w:pStyle w:val="15"/>
        <w:keepNext/>
      </w:pPr>
      <w:r>
        <w:t xml:space="preserve">表 </w:t>
      </w:r>
      <w:r>
        <w:rPr>
          <w:rFonts w:cs="Times New Roman"/>
        </w:rPr>
        <w:fldChar w:fldCharType="begin"/>
      </w:r>
      <w:r>
        <w:rPr>
          <w:rFonts w:cs="Times New Roman"/>
        </w:rPr>
        <w:instrText xml:space="preserve">SEQ Table \* ARABIC</w:instrText>
      </w:r>
      <w:r>
        <w:rPr>
          <w:rFonts w:cs="Times New Roman"/>
        </w:rPr>
        <w:fldChar w:fldCharType="separate"/>
      </w:r>
      <w:r>
        <w:rPr>
          <w:rFonts w:cs="Times New Roman"/>
        </w:rPr>
        <w:t>7</w:t>
      </w:r>
      <w:r>
        <w:rPr>
          <w:rFonts w:cs="Times New Roman"/>
        </w:rPr>
        <w:fldChar w:fldCharType="end"/>
      </w:r>
      <w:r>
        <w:rPr>
          <w:rFonts w:cs="Times New Roman"/>
        </w:rPr>
        <w:t xml:space="preserve"> 具有可行基准的代表方案压力结果</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2"/>
        <w:gridCol w:w="1792"/>
        <w:gridCol w:w="1792"/>
        <w:gridCol w:w="1792"/>
        <w:gridCol w:w="1792"/>
      </w:tblGrid>
      <w:tr w14:paraId="6206AD19">
        <w:trPr>
          <w:jc w:val="center"/>
        </w:trPr>
        <w:tc>
          <w:tcPr>
            <w:tcW w:w="1792" w:type="dxa"/>
            <w:shd w:val="clear" w:color="auto" w:fill="D9EAF2"/>
            <w:vAlign w:val="center"/>
          </w:tcPr>
          <w:p w14:paraId="1994DDB4">
            <w:pPr>
              <w:spacing w:line="276" w:lineRule="auto"/>
              <w:ind w:firstLine="0"/>
              <w:jc w:val="center"/>
            </w:pPr>
            <w:r>
              <w:rPr>
                <w:rFonts w:cs="Times New Roman"/>
                <w:b/>
                <w:sz w:val="19"/>
              </w:rPr>
              <w:t>口径</w:t>
            </w:r>
          </w:p>
        </w:tc>
        <w:tc>
          <w:tcPr>
            <w:tcW w:w="1792" w:type="dxa"/>
            <w:shd w:val="clear" w:color="auto" w:fill="D9EAF2"/>
            <w:vAlign w:val="center"/>
          </w:tcPr>
          <w:p w14:paraId="7F09FDA8">
            <w:pPr>
              <w:spacing w:line="276" w:lineRule="auto"/>
              <w:ind w:firstLine="0"/>
              <w:jc w:val="center"/>
            </w:pPr>
            <w:r>
              <w:rPr>
                <w:rFonts w:cs="Times New Roman"/>
                <w:b/>
                <w:sz w:val="19"/>
              </w:rPr>
              <w:t>方案</w:t>
            </w:r>
          </w:p>
        </w:tc>
        <w:tc>
          <w:tcPr>
            <w:tcW w:w="1792" w:type="dxa"/>
            <w:shd w:val="clear" w:color="auto" w:fill="D9EAF2"/>
            <w:vAlign w:val="center"/>
          </w:tcPr>
          <w:p w14:paraId="3D5509DF">
            <w:pPr>
              <w:spacing w:line="276" w:lineRule="auto"/>
              <w:ind w:firstLine="0"/>
              <w:jc w:val="center"/>
            </w:pPr>
            <w:r>
              <w:rPr>
                <w:rFonts w:cs="Times New Roman"/>
                <w:b/>
                <w:sz w:val="19"/>
              </w:rPr>
              <w:t>有效场景</w:t>
            </w:r>
          </w:p>
        </w:tc>
        <w:tc>
          <w:tcPr>
            <w:tcW w:w="1792" w:type="dxa"/>
            <w:shd w:val="clear" w:color="auto" w:fill="D9EAF2"/>
            <w:vAlign w:val="center"/>
          </w:tcPr>
          <w:p w14:paraId="026882F6">
            <w:pPr>
              <w:spacing w:line="276" w:lineRule="auto"/>
              <w:ind w:firstLine="0"/>
              <w:jc w:val="center"/>
            </w:pPr>
            <w:r>
              <w:rPr>
                <w:rFonts w:cs="Times New Roman"/>
                <w:b/>
                <w:sz w:val="19"/>
              </w:rPr>
              <w:t>通过场景</w:t>
            </w:r>
          </w:p>
        </w:tc>
        <w:tc>
          <w:tcPr>
            <w:tcW w:w="1792" w:type="dxa"/>
            <w:shd w:val="clear" w:color="auto" w:fill="D9EAF2"/>
            <w:vAlign w:val="center"/>
          </w:tcPr>
          <w:p w14:paraId="7E74CDC3">
            <w:pPr>
              <w:spacing w:line="276" w:lineRule="auto"/>
              <w:ind w:firstLine="0"/>
              <w:jc w:val="center"/>
            </w:pPr>
            <w:r>
              <w:rPr>
                <w:rFonts w:cs="Times New Roman"/>
                <w:b/>
                <w:sz w:val="19"/>
              </w:rPr>
              <w:t>通过率</w:t>
            </w:r>
          </w:p>
        </w:tc>
      </w:tr>
      <w:tr w14:paraId="0A230D68">
        <w:trPr>
          <w:jc w:val="center"/>
        </w:trPr>
        <w:tc>
          <w:tcPr>
            <w:tcW w:w="1792" w:type="dxa"/>
            <w:vAlign w:val="center"/>
          </w:tcPr>
          <w:p w14:paraId="352B8135">
            <w:pPr>
              <w:spacing w:line="276" w:lineRule="auto"/>
              <w:ind w:firstLine="0"/>
              <w:jc w:val="left"/>
            </w:pPr>
            <w:r>
              <w:rPr>
                <w:rFonts w:cs="Times New Roman"/>
                <w:sz w:val="19"/>
              </w:rPr>
              <w:t>Strict</w:t>
            </w:r>
          </w:p>
        </w:tc>
        <w:tc>
          <w:tcPr>
            <w:tcW w:w="1792" w:type="dxa"/>
            <w:vAlign w:val="center"/>
          </w:tcPr>
          <w:p w14:paraId="6108A206">
            <w:pPr>
              <w:spacing w:line="276" w:lineRule="auto"/>
              <w:ind w:firstLine="0"/>
              <w:jc w:val="left"/>
            </w:pPr>
            <w:r>
              <w:rPr>
                <w:rFonts w:cs="Times New Roman"/>
                <w:sz w:val="19"/>
              </w:rPr>
              <w:t>E边界代表</w:t>
            </w:r>
          </w:p>
        </w:tc>
        <w:tc>
          <w:tcPr>
            <w:tcW w:w="1792" w:type="dxa"/>
            <w:vAlign w:val="center"/>
          </w:tcPr>
          <w:p w14:paraId="233C9CDE">
            <w:pPr>
              <w:spacing w:line="276" w:lineRule="auto"/>
              <w:ind w:firstLine="0"/>
              <w:jc w:val="left"/>
            </w:pPr>
            <w:r>
              <w:rPr>
                <w:rFonts w:cs="Times New Roman"/>
                <w:sz w:val="19"/>
              </w:rPr>
              <w:t>37</w:t>
            </w:r>
          </w:p>
        </w:tc>
        <w:tc>
          <w:tcPr>
            <w:tcW w:w="1792" w:type="dxa"/>
            <w:vAlign w:val="center"/>
          </w:tcPr>
          <w:p w14:paraId="675ABE92">
            <w:pPr>
              <w:spacing w:line="276" w:lineRule="auto"/>
              <w:ind w:firstLine="0"/>
              <w:jc w:val="left"/>
            </w:pPr>
            <w:r>
              <w:rPr>
                <w:rFonts w:cs="Times New Roman"/>
                <w:sz w:val="19"/>
              </w:rPr>
              <w:t>25</w:t>
            </w:r>
          </w:p>
        </w:tc>
        <w:tc>
          <w:tcPr>
            <w:tcW w:w="1792" w:type="dxa"/>
            <w:vAlign w:val="center"/>
          </w:tcPr>
          <w:p w14:paraId="1F4DE3A6">
            <w:pPr>
              <w:spacing w:line="276" w:lineRule="auto"/>
              <w:ind w:firstLine="0"/>
              <w:jc w:val="left"/>
            </w:pPr>
            <w:r>
              <w:rPr>
                <w:rFonts w:cs="Times New Roman"/>
                <w:sz w:val="19"/>
              </w:rPr>
              <w:t>67.57%</w:t>
            </w:r>
          </w:p>
        </w:tc>
      </w:tr>
      <w:tr w14:paraId="6FBFDB2E">
        <w:trPr>
          <w:jc w:val="center"/>
        </w:trPr>
        <w:tc>
          <w:tcPr>
            <w:tcW w:w="1792" w:type="dxa"/>
            <w:vAlign w:val="center"/>
          </w:tcPr>
          <w:p w14:paraId="7DC607CC">
            <w:pPr>
              <w:spacing w:line="276" w:lineRule="auto"/>
              <w:ind w:firstLine="0"/>
              <w:jc w:val="left"/>
            </w:pPr>
            <w:r>
              <w:rPr>
                <w:rFonts w:cs="Times New Roman"/>
                <w:sz w:val="19"/>
              </w:rPr>
              <w:t>Extended</w:t>
            </w:r>
          </w:p>
        </w:tc>
        <w:tc>
          <w:tcPr>
            <w:tcW w:w="1792" w:type="dxa"/>
            <w:vAlign w:val="center"/>
          </w:tcPr>
          <w:p w14:paraId="31262614">
            <w:pPr>
              <w:spacing w:line="276" w:lineRule="auto"/>
              <w:ind w:firstLine="0"/>
              <w:jc w:val="left"/>
            </w:pPr>
            <w:r>
              <w:rPr>
                <w:rFonts w:cs="Times New Roman"/>
                <w:sz w:val="19"/>
              </w:rPr>
              <w:t>E边界代表</w:t>
            </w:r>
          </w:p>
        </w:tc>
        <w:tc>
          <w:tcPr>
            <w:tcW w:w="1792" w:type="dxa"/>
            <w:vAlign w:val="center"/>
          </w:tcPr>
          <w:p w14:paraId="1F8FA89B">
            <w:pPr>
              <w:spacing w:line="276" w:lineRule="auto"/>
              <w:ind w:firstLine="0"/>
              <w:jc w:val="left"/>
            </w:pPr>
            <w:r>
              <w:rPr>
                <w:rFonts w:cs="Times New Roman"/>
                <w:sz w:val="19"/>
              </w:rPr>
              <w:t>41</w:t>
            </w:r>
          </w:p>
        </w:tc>
        <w:tc>
          <w:tcPr>
            <w:tcW w:w="1792" w:type="dxa"/>
            <w:vAlign w:val="center"/>
          </w:tcPr>
          <w:p w14:paraId="654405E4">
            <w:pPr>
              <w:spacing w:line="276" w:lineRule="auto"/>
              <w:ind w:firstLine="0"/>
              <w:jc w:val="left"/>
            </w:pPr>
            <w:r>
              <w:rPr>
                <w:rFonts w:cs="Times New Roman"/>
                <w:sz w:val="19"/>
              </w:rPr>
              <w:t>24</w:t>
            </w:r>
          </w:p>
        </w:tc>
        <w:tc>
          <w:tcPr>
            <w:tcW w:w="1792" w:type="dxa"/>
            <w:vAlign w:val="center"/>
          </w:tcPr>
          <w:p w14:paraId="7DA2F5E2">
            <w:pPr>
              <w:spacing w:line="276" w:lineRule="auto"/>
              <w:ind w:firstLine="0"/>
              <w:jc w:val="left"/>
            </w:pPr>
            <w:r>
              <w:rPr>
                <w:rFonts w:cs="Times New Roman"/>
                <w:sz w:val="19"/>
              </w:rPr>
              <w:t>58.54%</w:t>
            </w:r>
          </w:p>
        </w:tc>
      </w:tr>
      <w:tr w14:paraId="3BB3A5AF">
        <w:trPr>
          <w:jc w:val="center"/>
        </w:trPr>
        <w:tc>
          <w:tcPr>
            <w:tcW w:w="1792" w:type="dxa"/>
            <w:vAlign w:val="center"/>
          </w:tcPr>
          <w:p w14:paraId="2E486C1F">
            <w:pPr>
              <w:spacing w:line="276" w:lineRule="auto"/>
              <w:ind w:firstLine="0"/>
              <w:jc w:val="left"/>
            </w:pPr>
            <w:r>
              <w:rPr>
                <w:rFonts w:cs="Times New Roman"/>
                <w:sz w:val="19"/>
              </w:rPr>
              <w:t>Strict</w:t>
            </w:r>
          </w:p>
        </w:tc>
        <w:tc>
          <w:tcPr>
            <w:tcW w:w="1792" w:type="dxa"/>
            <w:vAlign w:val="center"/>
          </w:tcPr>
          <w:p w14:paraId="2B68B735">
            <w:pPr>
              <w:spacing w:line="276" w:lineRule="auto"/>
              <w:ind w:firstLine="0"/>
              <w:jc w:val="left"/>
            </w:pPr>
            <w:r>
              <w:rPr>
                <w:rFonts w:cs="Times New Roman"/>
                <w:sz w:val="19"/>
              </w:rPr>
              <w:t>同比减5点</w:t>
            </w:r>
          </w:p>
        </w:tc>
        <w:tc>
          <w:tcPr>
            <w:tcW w:w="1792" w:type="dxa"/>
            <w:vAlign w:val="center"/>
          </w:tcPr>
          <w:p w14:paraId="6B492CD7">
            <w:pPr>
              <w:spacing w:line="276" w:lineRule="auto"/>
              <w:ind w:firstLine="0"/>
              <w:jc w:val="left"/>
            </w:pPr>
            <w:r>
              <w:rPr>
                <w:rFonts w:cs="Times New Roman"/>
                <w:sz w:val="19"/>
              </w:rPr>
              <w:t>37</w:t>
            </w:r>
          </w:p>
        </w:tc>
        <w:tc>
          <w:tcPr>
            <w:tcW w:w="1792" w:type="dxa"/>
            <w:vAlign w:val="center"/>
          </w:tcPr>
          <w:p w14:paraId="714A23F9">
            <w:pPr>
              <w:spacing w:line="276" w:lineRule="auto"/>
              <w:ind w:firstLine="0"/>
              <w:jc w:val="left"/>
            </w:pPr>
            <w:r>
              <w:rPr>
                <w:rFonts w:cs="Times New Roman"/>
                <w:sz w:val="19"/>
              </w:rPr>
              <w:t>37</w:t>
            </w:r>
          </w:p>
        </w:tc>
        <w:tc>
          <w:tcPr>
            <w:tcW w:w="1792" w:type="dxa"/>
            <w:vAlign w:val="center"/>
          </w:tcPr>
          <w:p w14:paraId="4452E8A4">
            <w:pPr>
              <w:spacing w:line="276" w:lineRule="auto"/>
              <w:ind w:firstLine="0"/>
              <w:jc w:val="left"/>
            </w:pPr>
            <w:r>
              <w:rPr>
                <w:rFonts w:cs="Times New Roman"/>
                <w:sz w:val="19"/>
              </w:rPr>
              <w:t>100.00%</w:t>
            </w:r>
          </w:p>
        </w:tc>
      </w:tr>
      <w:tr w14:paraId="14A45F77">
        <w:trPr>
          <w:jc w:val="center"/>
        </w:trPr>
        <w:tc>
          <w:tcPr>
            <w:tcW w:w="1792" w:type="dxa"/>
            <w:vAlign w:val="center"/>
          </w:tcPr>
          <w:p w14:paraId="75E7F6B3">
            <w:pPr>
              <w:spacing w:line="276" w:lineRule="auto"/>
              <w:ind w:firstLine="0"/>
              <w:jc w:val="left"/>
            </w:pPr>
            <w:r>
              <w:rPr>
                <w:rFonts w:cs="Times New Roman"/>
                <w:sz w:val="19"/>
              </w:rPr>
              <w:t>Extended</w:t>
            </w:r>
          </w:p>
        </w:tc>
        <w:tc>
          <w:tcPr>
            <w:tcW w:w="1792" w:type="dxa"/>
            <w:vAlign w:val="center"/>
          </w:tcPr>
          <w:p w14:paraId="5EF01FD8">
            <w:pPr>
              <w:spacing w:line="276" w:lineRule="auto"/>
              <w:ind w:firstLine="0"/>
              <w:jc w:val="left"/>
            </w:pPr>
            <w:r>
              <w:rPr>
                <w:rFonts w:cs="Times New Roman"/>
                <w:sz w:val="19"/>
              </w:rPr>
              <w:t>同比减5点</w:t>
            </w:r>
          </w:p>
        </w:tc>
        <w:tc>
          <w:tcPr>
            <w:tcW w:w="1792" w:type="dxa"/>
            <w:vAlign w:val="center"/>
          </w:tcPr>
          <w:p w14:paraId="3D02942F">
            <w:pPr>
              <w:spacing w:line="276" w:lineRule="auto"/>
              <w:ind w:firstLine="0"/>
              <w:jc w:val="left"/>
            </w:pPr>
            <w:r>
              <w:rPr>
                <w:rFonts w:cs="Times New Roman"/>
                <w:sz w:val="19"/>
              </w:rPr>
              <w:t>41</w:t>
            </w:r>
          </w:p>
        </w:tc>
        <w:tc>
          <w:tcPr>
            <w:tcW w:w="1792" w:type="dxa"/>
            <w:vAlign w:val="center"/>
          </w:tcPr>
          <w:p w14:paraId="26FBAC70">
            <w:pPr>
              <w:spacing w:line="276" w:lineRule="auto"/>
              <w:ind w:firstLine="0"/>
              <w:jc w:val="left"/>
            </w:pPr>
            <w:r>
              <w:rPr>
                <w:rFonts w:cs="Times New Roman"/>
                <w:sz w:val="19"/>
              </w:rPr>
              <w:t>41</w:t>
            </w:r>
          </w:p>
        </w:tc>
        <w:tc>
          <w:tcPr>
            <w:tcW w:w="1792" w:type="dxa"/>
            <w:vAlign w:val="center"/>
          </w:tcPr>
          <w:p w14:paraId="2013049B">
            <w:pPr>
              <w:spacing w:line="276" w:lineRule="auto"/>
              <w:ind w:firstLine="0"/>
              <w:jc w:val="left"/>
            </w:pPr>
            <w:r>
              <w:rPr>
                <w:rFonts w:cs="Times New Roman"/>
                <w:sz w:val="19"/>
              </w:rPr>
              <w:t>100.00%</w:t>
            </w:r>
          </w:p>
        </w:tc>
      </w:tr>
    </w:tbl>
    <w:p w14:paraId="00EF11B4"/>
    <w:p w14:paraId="6E86E614">
      <w:r>
        <w:rPr>
          <w:rFonts w:cs="Times New Roman"/>
        </w:rPr>
        <w:t>同比减少5个百分点在两种口径的既定压力清单中全部通过学业稳定约束；E边界代表的通过率在Extended中更低，显示局部差异化边界对样本删除和规则扰动更敏感。基准本身不可行的现行、减2.5点及多数非线性代表不计算鲁棒通过率，避免把“0%”误读为从可行状态退化。</w:t>
      </w:r>
    </w:p>
    <w:p w14:paraId="4835763E">
      <w:pPr>
        <w:keepNext/>
        <w:ind w:firstLine="0"/>
        <w:jc w:val="center"/>
      </w:pPr>
      <w:r>
        <w:drawing>
          <wp:inline distT="0" distB="0" distL="0" distR="0">
            <wp:extent cx="5471795" cy="2894330"/>
            <wp:effectExtent l="0" t="0" r="0" b="0"/>
            <wp:docPr id="7" name="Picture 7" descr="代表方案的学业稳定压力通过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代表方案的学业稳定压力通过率"/>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0" y="0"/>
                      <a:ext cx="5472000" cy="2894400"/>
                    </a:xfrm>
                    <a:prstGeom prst="rect">
                      <a:avLst/>
                    </a:prstGeom>
                  </pic:spPr>
                </pic:pic>
              </a:graphicData>
            </a:graphic>
          </wp:inline>
        </w:drawing>
      </w:r>
    </w:p>
    <w:p w14:paraId="4605F9F8">
      <w:pPr>
        <w:pStyle w:val="15"/>
      </w:pPr>
      <w:r>
        <w:rPr>
          <w:rFonts w:cs="Times New Roman"/>
        </w:rPr>
        <w:t xml:space="preserve">图 </w:t>
      </w:r>
      <w:r>
        <w:rPr>
          <w:rFonts w:cs="Times New Roman"/>
        </w:rPr>
        <w:fldChar w:fldCharType="begin"/>
      </w:r>
      <w:r>
        <w:rPr>
          <w:rFonts w:cs="Times New Roman"/>
        </w:rPr>
        <w:instrText xml:space="preserve">SEQ Figure \* ARABIC</w:instrText>
      </w:r>
      <w:r>
        <w:rPr>
          <w:rFonts w:cs="Times New Roman"/>
        </w:rPr>
        <w:fldChar w:fldCharType="separate"/>
      </w:r>
      <w:r>
        <w:rPr>
          <w:rFonts w:cs="Times New Roman"/>
        </w:rPr>
        <w:t>7</w:t>
      </w:r>
      <w:r>
        <w:rPr>
          <w:rFonts w:cs="Times New Roman"/>
        </w:rPr>
        <w:fldChar w:fldCharType="end"/>
      </w:r>
      <w:r>
        <w:rPr>
          <w:rFonts w:cs="Times New Roman"/>
        </w:rPr>
        <w:t xml:space="preserve"> 代表方案的学业稳定压力通过率</w:t>
      </w:r>
    </w:p>
    <w:p w14:paraId="6E5389F0">
      <w:r>
        <w:rPr>
          <w:rFonts w:cs="Times New Roman"/>
        </w:rPr>
        <w:t>图7只比较基准可行的两类方案。100%表示通过本次有限压力清单，不表示面对未来数据或未建模制度变化仍然必然可行；E边界代表的差异则说明位于离散可行边界附近的方案需要更大的实施缓冲。</w:t>
      </w:r>
    </w:p>
    <w:p w14:paraId="15DFBD24">
      <w:pPr>
        <w:pStyle w:val="4"/>
      </w:pPr>
      <w:bookmarkStart w:id="66" w:name="_Toc240540948"/>
      <w:r>
        <w:rPr>
          <w:rFonts w:ascii="Times New Roman" w:hAnsi="Times New Roman" w:eastAsia="黑体" w:cs="Times New Roman"/>
        </w:rPr>
        <w:t>9.5 最低补偿瓶颈稳定性</w:t>
      </w:r>
      <w:bookmarkEnd w:id="66"/>
    </w:p>
    <w:p w14:paraId="4367D8C8">
      <w:r>
        <w:rPr>
          <w:rFonts w:cs="Times New Roman"/>
        </w:rPr>
        <w:t>Strict的270个场景中，按固定顺序处理并列最坏组后，化工、计算机和法学院分别被记录为最坏组174、68和28次；Extended的346个场景中，化工228次、计算机76次、法学院31次、生科2次，另9个场景因覆盖不足记为NA。当前方案中各组留存均为1，固定并列顺序会把共同最坏记录优先分配给化工，因此这些次数不能解释为学院成为瓶颈的概率。可计算场景的最小最坏组分母为10，中位数为23，比例跳幅对小分母仍然敏感。</w:t>
      </w:r>
    </w:p>
    <w:p w14:paraId="01F44E2C">
      <w:pPr>
        <w:pStyle w:val="4"/>
      </w:pPr>
      <w:bookmarkStart w:id="67" w:name="_Toc240540949"/>
      <w:r>
        <w:rPr>
          <w:rFonts w:ascii="Times New Roman" w:hAnsi="Times New Roman" w:eastAsia="黑体" w:cs="Times New Roman"/>
        </w:rPr>
        <w:t>9.6 独立数值复核</w:t>
      </w:r>
      <w:bookmarkEnd w:id="67"/>
    </w:p>
    <w:p w14:paraId="14679579">
      <w:r>
        <w:rPr>
          <w:rFonts w:cs="Times New Roman"/>
        </w:rPr>
        <w:t xml:space="preserve">独立路线直接从学生审计底表重建排序、学生对、Top-q集合、补偿成员、统一可行域、冲突组合、差异化边界、69项非线性候选和全部压力场景。共比较12,064个计数、集合或浮点结果，严格计数完全一致，浮点差异均在 </w:t>
      </w:r>
      <m:oMath>
        <m:sSup>
          <m:sSupPr>
            <m:ctrlPr>
              <w:rPr>
                <w:rFonts w:ascii="Cambria Math" w:hAnsi="Cambria Math"/>
              </w:rPr>
            </m:ctrlPr>
          </m:sSupPr>
          <m:e>
            <m:r>
              <m:rPr/>
              <w:rPr>
                <w:rFonts w:ascii="Cambria Math" w:hAnsi="Cambria Math"/>
              </w:rPr>
              <m:t>10</m:t>
            </m:r>
            <m:ctrlPr>
              <w:rPr>
                <w:rFonts w:ascii="Cambria Math" w:hAnsi="Cambria Math"/>
              </w:rPr>
            </m:ctrlPr>
          </m:e>
          <m:sup>
            <m:r>
              <m:rPr/>
              <w:rPr>
                <w:rFonts w:ascii="Cambria Math" w:hAnsi="Cambria Math"/>
              </w:rPr>
              <m:t>−8</m:t>
            </m:r>
            <m:ctrlPr>
              <w:rPr>
                <w:rFonts w:ascii="Cambria Math" w:hAnsi="Cambria Math"/>
              </w:rPr>
            </m:ctrlPr>
          </m:sup>
        </m:sSup>
      </m:oMath>
      <w:r>
        <w:rPr>
          <w:rFonts w:cs="Times New Roman"/>
          <w:vanish/>
          <w:sz w:val="2"/>
        </w:rPr>
        <w:t>[AxMath LaTeX: 10^{-8}]</w:t>
      </w:r>
      <w:r>
        <w:rPr>
          <w:rFonts w:cs="Times New Roman"/>
        </w:rPr>
        <w:t xml:space="preserve"> 容差内，失败0项。该数量是核对项数，不是独立实验次数。</w:t>
      </w:r>
    </w:p>
    <w:p w14:paraId="44AD7477">
      <w:pPr>
        <w:pStyle w:val="4"/>
      </w:pPr>
      <w:bookmarkStart w:id="68" w:name="_Toc240540950"/>
      <w:r>
        <w:rPr>
          <w:rFonts w:ascii="Times New Roman" w:hAnsi="Times New Roman" w:eastAsia="黑体" w:cs="Times New Roman"/>
        </w:rPr>
        <w:t>9.7 本章小结</w:t>
      </w:r>
      <w:bookmarkEnd w:id="68"/>
    </w:p>
    <w:p w14:paraId="4D59DA56">
      <w:r>
        <w:rPr>
          <w:rFonts w:cs="Times New Roman"/>
        </w:rPr>
        <w:t>主要方向在Strict和Extended中一致：5个百分点同比调整的学业稳定表现最稳，E边界方案对压力条件更敏感，最低补偿瓶颈会在合法组别间切换且受小分母影响。独立复核支持计算实现的一致性。</w:t>
      </w:r>
    </w:p>
    <w:p w14:paraId="0B19FEAB">
      <w:pPr>
        <w:pStyle w:val="3"/>
      </w:pPr>
      <w:bookmarkStart w:id="69" w:name="_Toc240540951"/>
      <w:r>
        <w:rPr>
          <w:rFonts w:ascii="Times New Roman" w:hAnsi="Times New Roman" w:eastAsia="黑体" w:cs="Times New Roman"/>
        </w:rPr>
        <w:t>10 讨论与制度启示</w:t>
      </w:r>
      <w:bookmarkEnd w:id="69"/>
    </w:p>
    <w:p w14:paraId="7F4BAF66">
      <w:pPr>
        <w:pStyle w:val="4"/>
      </w:pPr>
      <w:bookmarkStart w:id="70" w:name="_Toc240540952"/>
      <w:r>
        <w:rPr>
          <w:rFonts w:ascii="Times New Roman" w:hAnsi="Times New Roman" w:eastAsia="黑体" w:cs="Times New Roman"/>
        </w:rPr>
        <w:t>10.1 名义权重与有效影响</w:t>
      </w:r>
      <w:bookmarkEnd w:id="70"/>
    </w:p>
    <w:p w14:paraId="1594CE9F">
      <w:r>
        <w:rPr>
          <w:rFonts w:cs="Times New Roman"/>
        </w:rPr>
        <w:t>相同75/10/15结构在化工和法学院产生不同逆转率，70/10/20的计算机学院总体逆转又与化工接近。权重审议应同时查看制度分分布、相关结构、封顶、排序单元和名单截点。只比较名义百分比会把实际影响差异隐藏在同一数字后面。</w:t>
      </w:r>
    </w:p>
    <w:p w14:paraId="08C77944">
      <w:pPr>
        <w:pStyle w:val="4"/>
      </w:pPr>
      <w:bookmarkStart w:id="71" w:name="_Toc240540953"/>
      <w:r>
        <w:rPr>
          <w:rFonts w:ascii="Times New Roman" w:hAnsi="Times New Roman" w:eastAsia="黑体" w:cs="Times New Roman"/>
        </w:rPr>
        <w:t>10.2 综合评价与学业排序的边界</w:t>
      </w:r>
      <w:bookmarkEnd w:id="71"/>
    </w:p>
    <w:p w14:paraId="6783CE76">
      <w:r>
        <w:rPr>
          <w:rFonts w:cs="Times New Roman"/>
        </w:rPr>
        <w:t>Strict中5—10分逆转率为11.25%，说明综合评价的次序重构并不限于近同分学生。是否接受这类变化取决于制度如何界定学业稳定与综合补偿的边界。模型能够量化逆转、名单与留存，不能代替政策主体确定何种变化具有规范正当性。</w:t>
      </w:r>
    </w:p>
    <w:p w14:paraId="46947DE0">
      <w:pPr>
        <w:pStyle w:val="4"/>
      </w:pPr>
      <w:bookmarkStart w:id="72" w:name="_Toc240540954"/>
      <w:r>
        <w:rPr>
          <w:rFonts w:ascii="Times New Roman" w:hAnsi="Times New Roman" w:eastAsia="黑体" w:cs="Times New Roman"/>
        </w:rPr>
        <w:t>10.3 最低补偿留存的保障含义</w:t>
      </w:r>
      <w:bookmarkEnd w:id="72"/>
    </w:p>
    <w:p w14:paraId="49ADE1A0">
      <w:r>
        <w:rPr>
          <w:rFonts w:cs="Times New Roman"/>
        </w:rPr>
        <w:t>最低补偿留存把关注点从总体平均转向最差合法组别，与worst-group或maximin思想一致[8,9]。其优点是避免大组掩盖小组损失，代价是对分母和单个成员变化敏感。正式主结果只能称为“严格核心学院最低补偿留存”，Extended只能称为“扩展样本最低补偿留存”，不能上推为全校最低保障。</w:t>
      </w:r>
    </w:p>
    <w:p w14:paraId="2EB59C81">
      <w:pPr>
        <w:pStyle w:val="4"/>
      </w:pPr>
      <w:bookmarkStart w:id="73" w:name="_Toc240540955"/>
      <w:r>
        <w:rPr>
          <w:rFonts w:ascii="Times New Roman" w:hAnsi="Times New Roman" w:eastAsia="黑体" w:cs="Times New Roman"/>
        </w:rPr>
        <w:t>10.4 统一权重与学院差异化</w:t>
      </w:r>
      <w:bookmarkEnd w:id="73"/>
    </w:p>
    <w:p w14:paraId="0841D17D">
      <w:r>
        <w:rPr>
          <w:rFonts w:cs="Times New Roman"/>
        </w:rPr>
        <w:t xml:space="preserve">统一权重在三类情景均无共同解，而允许 </w:t>
      </w:r>
      <m:oMath>
        <m:sSub>
          <m:sSubPr>
            <m:ctrlPr>
              <w:rPr>
                <w:rFonts w:ascii="Cambria Math" w:hAnsi="Cambria Math"/>
              </w:rPr>
            </m:ctrlPr>
          </m:sSubPr>
          <m:e>
            <m:r>
              <m:rPr/>
              <w:rPr>
                <w:rFonts w:ascii="Cambria Math" w:hAnsi="Cambria Math"/>
              </w:rPr>
              <m:t>α</m:t>
            </m:r>
            <m:ctrlPr>
              <w:rPr>
                <w:rFonts w:ascii="Cambria Math" w:hAnsi="Cambria Math"/>
              </w:rPr>
            </m:ctrlPr>
          </m:e>
          <m:sub>
            <m:r>
              <m:rPr/>
              <w:rPr>
                <w:rFonts w:ascii="Cambria Math" w:hAnsi="Cambria Math"/>
              </w:rPr>
              <m:t>c</m:t>
            </m:r>
            <m:ctrlPr>
              <w:rPr>
                <w:rFonts w:ascii="Cambria Math" w:hAnsi="Cambria Math"/>
              </w:rPr>
            </m:ctrlPr>
          </m:sub>
        </m:sSub>
      </m:oMath>
      <w:r>
        <w:rPr>
          <w:rFonts w:cs="Times New Roman"/>
          <w:vanish/>
          <w:sz w:val="2"/>
        </w:rPr>
        <w:t>[AxMath LaTeX: \alpha_c]</w:t>
      </w:r>
      <w:r>
        <w:rPr>
          <w:rFonts w:cs="Times New Roman"/>
        </w:rPr>
        <w:t xml:space="preserve"> 小幅差异可以恢复学业稳定候选。这说明组别异质性具有统计意义，但授权差异化还涉及可解释性、学生横向公平和管理成本。主域边界0.009提供的是最低离散自主空间证据，不是学院自行定权的充分政策依据。</w:t>
      </w:r>
    </w:p>
    <w:p w14:paraId="70257827">
      <w:pPr>
        <w:pStyle w:val="4"/>
      </w:pPr>
      <w:bookmarkStart w:id="74" w:name="_Toc240540956"/>
      <w:r>
        <w:rPr>
          <w:rFonts w:ascii="Times New Roman" w:hAnsi="Times New Roman" w:eastAsia="黑体" w:cs="Times New Roman"/>
        </w:rPr>
        <w:t>10.5 复杂机制是否优于简单机制</w:t>
      </w:r>
      <w:bookmarkEnd w:id="74"/>
    </w:p>
    <w:p w14:paraId="687F50D3">
      <w:r>
        <w:rPr>
          <w:rFonts w:cs="Times New Roman"/>
        </w:rPr>
        <w:t>非线性规则对2.5个百分点基准存在稳定严格支配，却不能支配5个百分点基准。复杂设计只有在增加的统计收益足以覆盖资格边界、参数解释和实施成本时才有制度优势。门槛、递减和封顶各自表达不同价值逻辑，不能仅凭Pareto身份视为等价候选。</w:t>
      </w:r>
    </w:p>
    <w:p w14:paraId="774C94C7">
      <w:pPr>
        <w:pStyle w:val="4"/>
      </w:pPr>
      <w:bookmarkStart w:id="75" w:name="_Toc240540957"/>
      <w:r>
        <w:rPr>
          <w:rFonts w:ascii="Times New Roman" w:hAnsi="Times New Roman" w:eastAsia="黑体" w:cs="Times New Roman"/>
        </w:rPr>
        <w:t>10.6 底线约束、发展达标与有限排序奖励</w:t>
      </w:r>
      <w:bookmarkEnd w:id="75"/>
    </w:p>
    <w:p w14:paraId="4FF4863C">
      <w:r>
        <w:rPr>
          <w:rFonts w:cs="Times New Roman"/>
        </w:rPr>
        <w:t>研究结果支持把“价值重要性”和“连续排序权重”分开讨论。底线约束用于排除明显不符合条件者，发展达标确认基本参与，有限排序奖励控制高段边际影响。三者的组合可作为制度审议框架，但本文没有对该组合进行外部行为验证，不能称其为已证明最优制度。</w:t>
      </w:r>
    </w:p>
    <w:p w14:paraId="72CE9405">
      <w:pPr>
        <w:pStyle w:val="4"/>
      </w:pPr>
      <w:bookmarkStart w:id="76" w:name="_Toc240540958"/>
      <w:r>
        <w:rPr>
          <w:rFonts w:ascii="Times New Roman" w:hAnsi="Times New Roman" w:eastAsia="黑体" w:cs="Times New Roman"/>
        </w:rPr>
        <w:t>10.7 数据与政策解释边界</w:t>
      </w:r>
      <w:bookmarkEnd w:id="76"/>
    </w:p>
    <w:p w14:paraId="7A11770E">
      <w:r>
        <w:rPr>
          <w:rFonts w:cs="Times New Roman"/>
        </w:rPr>
        <w:t>Strict覆盖具有完整母集证据的三个核心学院，Extended只加入生科5个有效专业单元；两者都不是全校随机样本。数信数据身份仍待独立名册和用途说明核验。若名单由成绩或荣誉资格非随机筛选，样本内部相关和排名结构不能无条件代表学院总体，这一风险与经典样本选择和范围限制问题一致[14-16]。</w:t>
      </w:r>
    </w:p>
    <w:p w14:paraId="0B113C04">
      <w:pPr>
        <w:pStyle w:val="3"/>
      </w:pPr>
      <w:bookmarkStart w:id="77" w:name="_Toc240540959"/>
      <w:r>
        <w:rPr>
          <w:rFonts w:ascii="Times New Roman" w:hAnsi="Times New Roman" w:eastAsia="黑体" w:cs="Times New Roman"/>
        </w:rPr>
        <w:t>11 结论与研究不足</w:t>
      </w:r>
      <w:bookmarkEnd w:id="77"/>
    </w:p>
    <w:p w14:paraId="2F381688">
      <w:pPr>
        <w:pStyle w:val="4"/>
      </w:pPr>
      <w:bookmarkStart w:id="78" w:name="_Toc240540960"/>
      <w:r>
        <w:rPr>
          <w:rFonts w:ascii="Times New Roman" w:hAnsi="Times New Roman" w:eastAsia="黑体" w:cs="Times New Roman"/>
        </w:rPr>
        <w:t>11.1 主要结论</w:t>
      </w:r>
      <w:bookmarkEnd w:id="78"/>
    </w:p>
    <w:p w14:paraId="15C53846">
      <w:r>
        <w:rPr>
          <w:rFonts w:cs="Times New Roman"/>
        </w:rPr>
        <w:t>第一，在2364名Strict学生和17个完整排序单元中，现行综合评价形成11.83%的严格逆转率、11.25%的5—10分逆转率和25.41%的智育Top20流失率；加入生科有效单元后方向与量级保持稳定。</w:t>
      </w:r>
    </w:p>
    <w:p w14:paraId="4A0C993D">
      <w:r>
        <w:rPr>
          <w:rFonts w:cs="Times New Roman"/>
        </w:rPr>
        <w:t>第二，同比减少非智育连续权重2.5和5个百分点均降低总体及中等分差逆转。5个百分点方案的改善更大，但最低补偿留存下降至82.61%，表明学业稳定收益与原补偿成员保留存在直接取舍。</w:t>
      </w:r>
    </w:p>
    <w:p w14:paraId="605FA1C2">
      <w:r>
        <w:rPr>
          <w:rFonts w:cs="Times New Roman"/>
        </w:rPr>
        <w:t>第三，15,251个统一权重点在三类研究情景下均无共同解。Strict与Extended具有相同的极小不可行组合，单独把最低补偿下限降至0仍不能恢复可行域，统一权重冲突不依赖数信观察名单。</w:t>
      </w:r>
    </w:p>
    <w:p w14:paraId="4FCD7F32">
      <w:r>
        <w:rPr>
          <w:rFonts w:cs="Times New Roman"/>
        </w:rPr>
        <w:t xml:space="preserve">第四，主政策域的学业稳定情景中，架构E和F可行，D不可行；E的最小离散 </w:t>
      </w:r>
      <m:oMath>
        <m:r>
          <m:rPr/>
          <w:rPr>
            <w:rFonts w:ascii="Cambria Math" w:hAnsi="Cambria Math"/>
          </w:rPr>
          <m:t>α</m:t>
        </m:r>
      </m:oMath>
      <w:r>
        <w:rPr>
          <w:rFonts w:cs="Times New Roman"/>
          <w:vanish/>
          <w:sz w:val="2"/>
        </w:rPr>
        <w:t>[AxMath LaTeX: \alpha]</w:t>
      </w:r>
      <w:r>
        <w:rPr>
          <w:rFonts w:cs="Times New Roman"/>
        </w:rPr>
        <w:t xml:space="preserve"> 半径为0.009，中心为0.227。平衡和全面发展情景的D/E/F均无解。有限差异化具有局部价值，却不能自动解决更严格的多目标冲突。</w:t>
      </w:r>
    </w:p>
    <w:p w14:paraId="19957456">
      <w:r>
        <w:rPr>
          <w:rFonts w:cs="Times New Roman"/>
        </w:rPr>
        <w:t>第五，69个非线性候选中，两种合法口径均有8个方案严格支配2.5个百分点线性基准，没有方案严格支配5个百分点基准。门槛资格排除率最高接近94%，复杂机制的统计收益必须与资格和实施代价同时判断。</w:t>
      </w:r>
    </w:p>
    <w:p w14:paraId="159CD28C">
      <w:r>
        <w:rPr>
          <w:rFonts w:cs="Times New Roman"/>
        </w:rPr>
        <w:t>第六，压力测试显示5个百分点同比方案在学业稳定情景的有效场景中全部通过，E边界代表通过率为67.57%和58.54%。12,064项独立复核失败0项，主要结论不依赖旧五学院观察口径，但边界方案和最低补偿比例仍对局部样本与小分母敏感。</w:t>
      </w:r>
    </w:p>
    <w:p w14:paraId="3C460D64">
      <w:pPr>
        <w:pStyle w:val="4"/>
      </w:pPr>
      <w:bookmarkStart w:id="79" w:name="_Toc240540961"/>
      <w:r>
        <w:rPr>
          <w:rFonts w:ascii="Times New Roman" w:hAnsi="Times New Roman" w:eastAsia="黑体" w:cs="Times New Roman"/>
        </w:rPr>
        <w:t>11.2 制度启示</w:t>
      </w:r>
      <w:bookmarkEnd w:id="79"/>
    </w:p>
    <w:p w14:paraId="667C8892">
      <w:r>
        <w:rPr>
          <w:rFonts w:cs="Times New Roman"/>
        </w:rPr>
        <w:t>权重修订应先明确制度希望保护的排序对象：一般次序、头部名单、原补偿成员或分项区分功能。若目标是降低中等学业差距逆转，简单同比降权具有透明且稳定的方向；若同时要求更高补偿留存，统一权重可能没有共同解，需要在阈值、差异化权限或评价架构之间作显式选择。</w:t>
      </w:r>
    </w:p>
    <w:p w14:paraId="529041AC">
      <w:pPr>
        <w:pStyle w:val="4"/>
      </w:pPr>
      <w:bookmarkStart w:id="80" w:name="_Toc240540962"/>
      <w:r>
        <w:rPr>
          <w:rFonts w:ascii="Times New Roman" w:hAnsi="Times New Roman" w:eastAsia="黑体" w:cs="Times New Roman"/>
        </w:rPr>
        <w:t>11.3 研究局限</w:t>
      </w:r>
      <w:bookmarkEnd w:id="80"/>
    </w:p>
    <w:p w14:paraId="03344E43">
      <w:r>
        <w:rPr>
          <w:rFonts w:cs="Times New Roman"/>
        </w:rPr>
        <w:t>研究采用固定成绩反事实，没有观察规则改变后的行为响应。Strict只覆盖三个具有完整母集证据的核心学院，Extended中的生科也仅代表5个有效专业单元；数信仍缺完整母集证明。情景阈值属于研究压力条件，差异化Pareto覆盖保存的代表候选库而非连续空间全局前沿。最低补偿留存存在小分母跳变，需与分子分母共同报告。</w:t>
      </w:r>
    </w:p>
    <w:p w14:paraId="344D7FED">
      <w:pPr>
        <w:pStyle w:val="3"/>
      </w:pPr>
      <w:bookmarkStart w:id="81" w:name="_Toc240540965"/>
      <w:r>
        <w:rPr>
          <w:rFonts w:ascii="Times New Roman" w:hAnsi="Times New Roman" w:eastAsia="黑体" w:cs="Times New Roman"/>
        </w:rPr>
        <w:t>附录</w:t>
      </w:r>
      <w:bookmarkEnd w:id="81"/>
    </w:p>
    <w:p w14:paraId="1C3164B1">
      <w:pPr>
        <w:pStyle w:val="4"/>
        <w:rPr>
          <w:rFonts w:hint="eastAsia" w:eastAsia="黑体"/>
          <w:lang w:val="en-US" w:eastAsia="zh-CN"/>
        </w:rPr>
      </w:pPr>
      <w:bookmarkStart w:id="82" w:name="_Toc240540966"/>
      <w:r>
        <w:rPr>
          <w:rFonts w:ascii="Times New Roman" w:hAnsi="Times New Roman" w:eastAsia="黑体" w:cs="Times New Roman"/>
        </w:rPr>
        <w:t>附录A 主要符号</w:t>
      </w:r>
      <w:bookmarkEnd w:id="82"/>
      <w:r>
        <w:rPr>
          <w:rFonts w:hint="eastAsia" w:ascii="Times New Roman" w:hAnsi="Times New Roman" w:eastAsia="黑体" w:cs="Times New Roman"/>
          <w:lang w:val="en-US" w:eastAsia="zh-CN"/>
        </w:rPr>
        <w:t>说明</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6"/>
        <w:gridCol w:w="6022"/>
      </w:tblGrid>
      <w:tr w14:paraId="3A4E23D8">
        <w:trPr>
          <w:jc w:val="center"/>
        </w:trPr>
        <w:tc>
          <w:tcPr>
            <w:tcW w:w="2936" w:type="dxa"/>
            <w:tcBorders>
              <w:top w:val="single" w:color="000000" w:sz="12" w:space="0"/>
              <w:left w:val="nil"/>
              <w:bottom w:val="single" w:color="000000" w:sz="4" w:space="0"/>
              <w:right w:val="nil"/>
              <w:tl2br w:val="nil"/>
            </w:tcBorders>
            <w:shd w:val="clear" w:color="auto" w:fill="FFFFFF"/>
            <w:vAlign w:val="center"/>
          </w:tcPr>
          <w:p w14:paraId="2DF0999E">
            <w:pPr>
              <w:spacing w:line="276" w:lineRule="auto"/>
              <w:ind w:firstLine="0"/>
              <w:jc w:val="center"/>
              <w:rPr>
                <w:b w:val="0"/>
                <w:color w:val="000000"/>
              </w:rPr>
            </w:pPr>
            <w:r>
              <w:rPr>
                <w:rFonts w:cs="Times New Roman"/>
                <w:b w:val="0"/>
                <w:color w:val="000000"/>
                <w:sz w:val="19"/>
              </w:rPr>
              <w:t>符号</w:t>
            </w:r>
          </w:p>
        </w:tc>
        <w:tc>
          <w:tcPr>
            <w:tcW w:w="6022" w:type="dxa"/>
            <w:tcBorders>
              <w:top w:val="single" w:color="000000" w:sz="12" w:space="0"/>
              <w:left w:val="nil"/>
              <w:bottom w:val="single" w:color="000000" w:sz="4" w:space="0"/>
              <w:right w:val="nil"/>
            </w:tcBorders>
            <w:shd w:val="clear" w:color="auto" w:fill="FFFFFF"/>
            <w:vAlign w:val="center"/>
          </w:tcPr>
          <w:p w14:paraId="02420889">
            <w:pPr>
              <w:spacing w:line="276" w:lineRule="auto"/>
              <w:ind w:firstLine="0"/>
              <w:jc w:val="center"/>
              <w:rPr>
                <w:b w:val="0"/>
                <w:color w:val="000000"/>
              </w:rPr>
            </w:pPr>
            <w:r>
              <w:rPr>
                <w:rFonts w:cs="Times New Roman"/>
                <w:b w:val="0"/>
                <w:color w:val="000000"/>
                <w:sz w:val="19"/>
              </w:rPr>
              <w:t>含义</w:t>
            </w:r>
          </w:p>
        </w:tc>
      </w:tr>
      <w:tr w14:paraId="23FF1DC0">
        <w:trPr>
          <w:jc w:val="center"/>
        </w:trPr>
        <w:tc>
          <w:tcPr>
            <w:tcW w:w="2936" w:type="dxa"/>
            <w:tcBorders>
              <w:top w:val="single" w:color="000000" w:sz="4" w:space="0"/>
              <w:left w:val="nil"/>
              <w:bottom w:val="nil"/>
              <w:right w:val="nil"/>
            </w:tcBorders>
            <w:shd w:val="clear" w:color="auto" w:fill="FFFFFF"/>
            <w:vAlign w:val="center"/>
          </w:tcPr>
          <w:p w14:paraId="62C1F886">
            <w:pPr>
              <w:spacing w:line="276" w:lineRule="auto"/>
              <w:ind w:firstLine="0"/>
              <w:jc w:val="center"/>
              <w:rPr>
                <w:b w:val="0"/>
                <w:color w:val="000000"/>
              </w:rPr>
            </w:pPr>
            <m:oMath>
              <m:r>
                <m:rPr/>
                <w:rPr>
                  <w:rFonts w:ascii="Cambria Math" w:hAnsi="Cambria Math"/>
                  <w:color w:val="000000"/>
                </w:rPr>
                <m:t>A,D,E</m:t>
              </m:r>
            </m:oMath>
            <w:r>
              <w:rPr>
                <w:rFonts w:cs="Times New Roman"/>
                <w:b w:val="0"/>
                <w:vanish/>
                <w:color w:val="000000"/>
                <w:sz w:val="19"/>
              </w:rPr>
              <w:t>[AxMath LaTeX: A,D,E]</w:t>
            </w:r>
          </w:p>
        </w:tc>
        <w:tc>
          <w:tcPr>
            <w:tcW w:w="6022" w:type="dxa"/>
            <w:tcBorders>
              <w:top w:val="single" w:color="000000" w:sz="4" w:space="0"/>
              <w:left w:val="nil"/>
              <w:bottom w:val="nil"/>
              <w:right w:val="nil"/>
            </w:tcBorders>
            <w:shd w:val="clear" w:color="auto" w:fill="FFFFFF"/>
            <w:vAlign w:val="center"/>
          </w:tcPr>
          <w:p w14:paraId="46682278">
            <w:pPr>
              <w:spacing w:line="276" w:lineRule="auto"/>
              <w:ind w:firstLine="0"/>
              <w:jc w:val="center"/>
              <w:rPr>
                <w:b w:val="0"/>
                <w:color w:val="000000"/>
              </w:rPr>
            </w:pPr>
            <w:r>
              <w:rPr>
                <w:rFonts w:cs="Times New Roman"/>
                <w:b w:val="0"/>
                <w:color w:val="000000"/>
                <w:sz w:val="19"/>
              </w:rPr>
              <w:t>智育、德育和发展素质制度分</w:t>
            </w:r>
          </w:p>
        </w:tc>
      </w:tr>
      <w:tr w14:paraId="598EE8A8">
        <w:trPr>
          <w:jc w:val="center"/>
        </w:trPr>
        <w:tc>
          <w:tcPr>
            <w:tcW w:w="2936" w:type="dxa"/>
            <w:tcBorders>
              <w:top w:val="nil"/>
              <w:left w:val="nil"/>
              <w:bottom w:val="nil"/>
              <w:right w:val="nil"/>
            </w:tcBorders>
            <w:shd w:val="clear" w:color="auto" w:fill="FFFFFF"/>
            <w:vAlign w:val="center"/>
          </w:tcPr>
          <w:p w14:paraId="0D252585">
            <w:pPr>
              <w:spacing w:line="276" w:lineRule="auto"/>
              <w:ind w:firstLine="0"/>
              <w:jc w:val="center"/>
              <w:rPr>
                <w:b w:val="0"/>
                <w:color w:val="000000"/>
              </w:rPr>
            </w:pPr>
            <m:oMath>
              <m:sSub>
                <m:sSubPr>
                  <m:ctrlPr>
                    <w:rPr>
                      <w:rFonts w:ascii="Cambria Math" w:hAnsi="Cambria Math"/>
                      <w:b w:val="0"/>
                      <w:color w:val="000000"/>
                    </w:rPr>
                  </m:ctrlPr>
                </m:sSubPr>
                <m:e>
                  <m:r>
                    <m:rPr/>
                    <w:rPr>
                      <w:rFonts w:ascii="Cambria Math" w:hAnsi="Cambria Math"/>
                      <w:color w:val="000000"/>
                    </w:rPr>
                    <m:t>S</m:t>
                  </m:r>
                  <m:ctrlPr>
                    <w:rPr>
                      <w:rFonts w:ascii="Cambria Math" w:hAnsi="Cambria Math"/>
                      <w:b w:val="0"/>
                      <w:color w:val="000000"/>
                    </w:rPr>
                  </m:ctrlPr>
                </m:e>
                <m:sub>
                  <m:r>
                    <m:rPr/>
                    <w:rPr>
                      <w:rFonts w:ascii="Cambria Math" w:hAnsi="Cambria Math"/>
                      <w:color w:val="000000"/>
                    </w:rPr>
                    <m:t>i</m:t>
                  </m:r>
                  <m:ctrlPr>
                    <w:rPr>
                      <w:rFonts w:ascii="Cambria Math" w:hAnsi="Cambria Math"/>
                      <w:b w:val="0"/>
                      <w:color w:val="000000"/>
                    </w:rPr>
                  </m:ctrlPr>
                </m:sub>
              </m:sSub>
            </m:oMath>
            <w:r>
              <w:rPr>
                <w:rFonts w:cs="Times New Roman"/>
                <w:b w:val="0"/>
                <w:vanish/>
                <w:color w:val="000000"/>
                <w:sz w:val="19"/>
              </w:rPr>
              <w:t>[AxMath LaTeX: S_i]</w:t>
            </w:r>
          </w:p>
        </w:tc>
        <w:tc>
          <w:tcPr>
            <w:tcW w:w="6022" w:type="dxa"/>
            <w:tcBorders>
              <w:top w:val="nil"/>
              <w:left w:val="nil"/>
              <w:bottom w:val="nil"/>
              <w:right w:val="nil"/>
            </w:tcBorders>
            <w:shd w:val="clear" w:color="auto" w:fill="FFFFFF"/>
            <w:vAlign w:val="center"/>
          </w:tcPr>
          <w:p w14:paraId="27D2B5A3">
            <w:pPr>
              <w:spacing w:line="276" w:lineRule="auto"/>
              <w:ind w:firstLine="0"/>
              <w:jc w:val="center"/>
              <w:rPr>
                <w:b w:val="0"/>
                <w:color w:val="000000"/>
              </w:rPr>
            </w:pPr>
            <w:r>
              <w:rPr>
                <w:rFonts w:cs="Times New Roman"/>
                <w:b w:val="0"/>
                <w:color w:val="000000"/>
                <w:sz w:val="19"/>
              </w:rPr>
              <w:t>学生综合评价得分</w:t>
            </w:r>
          </w:p>
        </w:tc>
      </w:tr>
      <w:tr w14:paraId="39E60EEA">
        <w:trPr>
          <w:jc w:val="center"/>
        </w:trPr>
        <w:tc>
          <w:tcPr>
            <w:tcW w:w="2936" w:type="dxa"/>
            <w:tcBorders>
              <w:top w:val="nil"/>
              <w:left w:val="nil"/>
              <w:bottom w:val="nil"/>
              <w:right w:val="nil"/>
            </w:tcBorders>
            <w:shd w:val="clear" w:color="auto" w:fill="FFFFFF"/>
            <w:vAlign w:val="center"/>
          </w:tcPr>
          <w:p w14:paraId="5A8068F2">
            <w:pPr>
              <w:spacing w:line="276" w:lineRule="auto"/>
              <w:ind w:firstLine="0"/>
              <w:jc w:val="center"/>
              <w:rPr>
                <w:b w:val="0"/>
                <w:color w:val="000000"/>
              </w:rPr>
            </w:pPr>
            <m:oMath>
              <m:r>
                <m:rPr/>
                <w:rPr>
                  <w:rFonts w:ascii="Cambria Math" w:hAnsi="Cambria Math"/>
                  <w:color w:val="000000"/>
                </w:rPr>
                <m:t>α</m:t>
              </m:r>
            </m:oMath>
            <w:r>
              <w:rPr>
                <w:rFonts w:cs="Times New Roman"/>
                <w:b w:val="0"/>
                <w:vanish/>
                <w:color w:val="000000"/>
                <w:sz w:val="19"/>
              </w:rPr>
              <w:t>[AxMath LaTeX: \alpha]</w:t>
            </w:r>
          </w:p>
        </w:tc>
        <w:tc>
          <w:tcPr>
            <w:tcW w:w="6022" w:type="dxa"/>
            <w:tcBorders>
              <w:top w:val="nil"/>
              <w:left w:val="nil"/>
              <w:bottom w:val="nil"/>
              <w:right w:val="nil"/>
            </w:tcBorders>
            <w:shd w:val="clear" w:color="auto" w:fill="FFFFFF"/>
            <w:vAlign w:val="center"/>
          </w:tcPr>
          <w:p w14:paraId="0B46E5AF">
            <w:pPr>
              <w:spacing w:line="276" w:lineRule="auto"/>
              <w:ind w:firstLine="0"/>
              <w:jc w:val="center"/>
              <w:rPr>
                <w:b w:val="0"/>
                <w:color w:val="000000"/>
              </w:rPr>
            </w:pPr>
            <w:r>
              <w:rPr>
                <w:rFonts w:cs="Times New Roman"/>
                <w:b w:val="0"/>
                <w:color w:val="000000"/>
                <w:sz w:val="19"/>
              </w:rPr>
              <w:t>非智育连续排序总权重</w:t>
            </w:r>
          </w:p>
        </w:tc>
      </w:tr>
      <w:tr w14:paraId="05A5B0E6">
        <w:trPr>
          <w:jc w:val="center"/>
        </w:trPr>
        <w:tc>
          <w:tcPr>
            <w:tcW w:w="2936" w:type="dxa"/>
            <w:tcBorders>
              <w:top w:val="nil"/>
              <w:left w:val="nil"/>
              <w:bottom w:val="nil"/>
              <w:right w:val="nil"/>
            </w:tcBorders>
            <w:shd w:val="clear" w:color="auto" w:fill="FFFFFF"/>
            <w:vAlign w:val="center"/>
          </w:tcPr>
          <w:p w14:paraId="49D70485">
            <w:pPr>
              <w:spacing w:line="276" w:lineRule="auto"/>
              <w:ind w:firstLine="0"/>
              <w:jc w:val="center"/>
              <w:rPr>
                <w:b w:val="0"/>
                <w:color w:val="000000"/>
              </w:rPr>
            </w:pPr>
            <m:oMath>
              <m:r>
                <m:rPr/>
                <w:rPr>
                  <w:rFonts w:ascii="Cambria Math" w:hAnsi="Cambria Math"/>
                  <w:color w:val="000000"/>
                </w:rPr>
                <m:t>β</m:t>
              </m:r>
            </m:oMath>
            <w:r>
              <w:rPr>
                <w:rFonts w:cs="Times New Roman"/>
                <w:b w:val="0"/>
                <w:vanish/>
                <w:color w:val="000000"/>
                <w:sz w:val="19"/>
              </w:rPr>
              <w:t>[AxMath LaTeX: \beta]</w:t>
            </w:r>
          </w:p>
        </w:tc>
        <w:tc>
          <w:tcPr>
            <w:tcW w:w="6022" w:type="dxa"/>
            <w:tcBorders>
              <w:top w:val="nil"/>
              <w:left w:val="nil"/>
              <w:bottom w:val="nil"/>
              <w:right w:val="nil"/>
            </w:tcBorders>
            <w:shd w:val="clear" w:color="auto" w:fill="FFFFFF"/>
            <w:vAlign w:val="center"/>
          </w:tcPr>
          <w:p w14:paraId="58D5302A">
            <w:pPr>
              <w:spacing w:line="276" w:lineRule="auto"/>
              <w:ind w:firstLine="0"/>
              <w:jc w:val="center"/>
              <w:rPr>
                <w:b w:val="0"/>
                <w:color w:val="000000"/>
              </w:rPr>
            </w:pPr>
            <w:r>
              <w:rPr>
                <w:rFonts w:cs="Times New Roman"/>
                <w:b w:val="0"/>
                <w:color w:val="000000"/>
                <w:sz w:val="19"/>
              </w:rPr>
              <w:t>非智育权重内部德育占比</w:t>
            </w:r>
          </w:p>
        </w:tc>
      </w:tr>
      <w:tr w14:paraId="3EC299CD">
        <w:trPr>
          <w:jc w:val="center"/>
        </w:trPr>
        <w:tc>
          <w:tcPr>
            <w:tcW w:w="2936" w:type="dxa"/>
            <w:tcBorders>
              <w:top w:val="nil"/>
              <w:left w:val="nil"/>
              <w:bottom w:val="nil"/>
              <w:right w:val="nil"/>
            </w:tcBorders>
            <w:shd w:val="clear" w:color="auto" w:fill="FFFFFF"/>
            <w:vAlign w:val="center"/>
          </w:tcPr>
          <w:p w14:paraId="408021C6">
            <w:pPr>
              <w:spacing w:line="276" w:lineRule="auto"/>
              <w:ind w:firstLine="0"/>
              <w:jc w:val="center"/>
              <w:rPr>
                <w:b w:val="0"/>
                <w:color w:val="000000"/>
              </w:rPr>
            </w:pPr>
            <m:oMath>
              <m:sSub>
                <m:sSubPr>
                  <m:ctrlPr>
                    <w:rPr>
                      <w:rFonts w:ascii="Cambria Math" w:hAnsi="Cambria Math"/>
                      <w:b w:val="0"/>
                      <w:color w:val="000000"/>
                    </w:rPr>
                  </m:ctrlPr>
                </m:sSubPr>
                <m:e>
                  <m:r>
                    <m:rPr/>
                    <w:rPr>
                      <w:rFonts w:ascii="Cambria Math" w:hAnsi="Cambria Math"/>
                      <w:color w:val="000000"/>
                    </w:rPr>
                    <m:t>R</m:t>
                  </m:r>
                  <m:ctrlPr>
                    <w:rPr>
                      <w:rFonts w:ascii="Cambria Math" w:hAnsi="Cambria Math"/>
                      <w:b w:val="0"/>
                      <w:color w:val="000000"/>
                    </w:rPr>
                  </m:ctrlPr>
                </m:e>
                <m:sub>
                  <m:r>
                    <m:rPr/>
                    <w:rPr>
                      <w:rFonts w:ascii="Cambria Math" w:hAnsi="Cambria Math"/>
                      <w:color w:val="000000"/>
                    </w:rPr>
                    <m:t>5−10</m:t>
                  </m:r>
                  <m:ctrlPr>
                    <w:rPr>
                      <w:rFonts w:ascii="Cambria Math" w:hAnsi="Cambria Math"/>
                      <w:b w:val="0"/>
                      <w:color w:val="000000"/>
                    </w:rPr>
                  </m:ctrlPr>
                </m:sub>
              </m:sSub>
            </m:oMath>
            <w:r>
              <w:rPr>
                <w:rFonts w:cs="Times New Roman"/>
                <w:b w:val="0"/>
                <w:vanish/>
                <w:color w:val="000000"/>
                <w:sz w:val="19"/>
              </w:rPr>
              <w:t>[AxMath LaTeX: R_{5-10}]</w:t>
            </w:r>
          </w:p>
        </w:tc>
        <w:tc>
          <w:tcPr>
            <w:tcW w:w="6022" w:type="dxa"/>
            <w:tcBorders>
              <w:top w:val="nil"/>
              <w:left w:val="nil"/>
              <w:bottom w:val="nil"/>
              <w:right w:val="nil"/>
            </w:tcBorders>
            <w:shd w:val="clear" w:color="auto" w:fill="FFFFFF"/>
            <w:vAlign w:val="center"/>
          </w:tcPr>
          <w:p w14:paraId="03326112">
            <w:pPr>
              <w:spacing w:line="276" w:lineRule="auto"/>
              <w:ind w:firstLine="0"/>
              <w:jc w:val="center"/>
              <w:rPr>
                <w:b w:val="0"/>
                <w:color w:val="000000"/>
              </w:rPr>
            </w:pPr>
            <w:r>
              <w:rPr>
                <w:rFonts w:cs="Times New Roman"/>
                <w:b w:val="0"/>
                <w:color w:val="000000"/>
                <w:sz w:val="19"/>
              </w:rPr>
              <w:t>智育分差5—10分学生对的严格逆转率</w:t>
            </w:r>
          </w:p>
        </w:tc>
      </w:tr>
      <w:tr w14:paraId="7855AF35">
        <w:trPr>
          <w:jc w:val="center"/>
        </w:trPr>
        <w:tc>
          <w:tcPr>
            <w:tcW w:w="2936" w:type="dxa"/>
            <w:tcBorders>
              <w:top w:val="nil"/>
              <w:left w:val="nil"/>
              <w:bottom w:val="nil"/>
              <w:right w:val="nil"/>
            </w:tcBorders>
            <w:shd w:val="clear" w:color="auto" w:fill="FFFFFF"/>
            <w:vAlign w:val="center"/>
          </w:tcPr>
          <w:p w14:paraId="4A931209">
            <w:pPr>
              <w:spacing w:line="276" w:lineRule="auto"/>
              <w:ind w:firstLine="0"/>
              <w:jc w:val="center"/>
              <w:rPr>
                <w:b w:val="0"/>
                <w:color w:val="000000"/>
              </w:rPr>
            </w:pPr>
            <m:oMath>
              <m:sSub>
                <m:sSubPr>
                  <m:ctrlPr>
                    <w:rPr>
                      <w:rFonts w:ascii="Cambria Math" w:hAnsi="Cambria Math"/>
                      <w:b w:val="0"/>
                      <w:color w:val="000000"/>
                    </w:rPr>
                  </m:ctrlPr>
                </m:sSubPr>
                <m:e>
                  <m:r>
                    <m:rPr/>
                    <w:rPr>
                      <w:rFonts w:ascii="Cambria Math" w:hAnsi="Cambria Math"/>
                      <w:color w:val="000000"/>
                    </w:rPr>
                    <m:t>L</m:t>
                  </m:r>
                  <m:ctrlPr>
                    <w:rPr>
                      <w:rFonts w:ascii="Cambria Math" w:hAnsi="Cambria Math"/>
                      <w:b w:val="0"/>
                      <w:color w:val="000000"/>
                    </w:rPr>
                  </m:ctrlPr>
                </m:e>
                <m:sub>
                  <m:r>
                    <m:rPr/>
                    <w:rPr>
                      <w:rFonts w:ascii="Cambria Math" w:hAnsi="Cambria Math"/>
                      <w:color w:val="000000"/>
                    </w:rPr>
                    <m:t>q</m:t>
                  </m:r>
                  <m:ctrlPr>
                    <w:rPr>
                      <w:rFonts w:ascii="Cambria Math" w:hAnsi="Cambria Math"/>
                      <w:b w:val="0"/>
                      <w:color w:val="000000"/>
                    </w:rPr>
                  </m:ctrlPr>
                </m:sub>
              </m:sSub>
            </m:oMath>
            <w:r>
              <w:rPr>
                <w:rFonts w:cs="Times New Roman"/>
                <w:b w:val="0"/>
                <w:vanish/>
                <w:color w:val="000000"/>
                <w:sz w:val="19"/>
              </w:rPr>
              <w:t>[AxMath LaTeX: L_q]</w:t>
            </w:r>
          </w:p>
        </w:tc>
        <w:tc>
          <w:tcPr>
            <w:tcW w:w="6022" w:type="dxa"/>
            <w:tcBorders>
              <w:top w:val="nil"/>
              <w:left w:val="nil"/>
              <w:bottom w:val="nil"/>
              <w:right w:val="nil"/>
            </w:tcBorders>
            <w:shd w:val="clear" w:color="auto" w:fill="FFFFFF"/>
            <w:vAlign w:val="center"/>
          </w:tcPr>
          <w:p w14:paraId="22462712">
            <w:pPr>
              <w:spacing w:line="276" w:lineRule="auto"/>
              <w:ind w:firstLine="0"/>
              <w:jc w:val="center"/>
              <w:rPr>
                <w:b w:val="0"/>
                <w:color w:val="000000"/>
              </w:rPr>
            </w:pPr>
            <w:r>
              <w:rPr>
                <w:rFonts w:cs="Times New Roman"/>
                <w:b w:val="0"/>
                <w:color w:val="000000"/>
                <w:sz w:val="19"/>
              </w:rPr>
              <w:t>智育Top-q成员未进入候选Top-q的比例</w:t>
            </w:r>
          </w:p>
        </w:tc>
      </w:tr>
      <w:tr w14:paraId="270F338B">
        <w:trPr>
          <w:jc w:val="center"/>
        </w:trPr>
        <w:tc>
          <w:tcPr>
            <w:tcW w:w="2936" w:type="dxa"/>
            <w:tcBorders>
              <w:top w:val="nil"/>
              <w:left w:val="nil"/>
              <w:bottom w:val="nil"/>
              <w:right w:val="nil"/>
            </w:tcBorders>
            <w:shd w:val="clear" w:color="auto" w:fill="FFFFFF"/>
            <w:vAlign w:val="center"/>
          </w:tcPr>
          <w:p w14:paraId="0A2F8403">
            <w:pPr>
              <w:spacing w:line="276" w:lineRule="auto"/>
              <w:ind w:firstLine="0"/>
              <w:jc w:val="center"/>
              <w:rPr>
                <w:b w:val="0"/>
                <w:color w:val="000000"/>
              </w:rPr>
            </w:pPr>
            <m:oMath>
              <m:sSub>
                <m:sSubPr>
                  <m:ctrlPr>
                    <w:rPr>
                      <w:rFonts w:ascii="Cambria Math" w:hAnsi="Cambria Math"/>
                      <w:b w:val="0"/>
                      <w:color w:val="000000"/>
                    </w:rPr>
                  </m:ctrlPr>
                </m:sSubPr>
                <m:e>
                  <m:r>
                    <m:rPr/>
                    <w:rPr>
                      <w:rFonts w:ascii="Cambria Math" w:hAnsi="Cambria Math"/>
                      <w:color w:val="000000"/>
                    </w:rPr>
                    <m:t>X</m:t>
                  </m:r>
                  <m:ctrlPr>
                    <w:rPr>
                      <w:rFonts w:ascii="Cambria Math" w:hAnsi="Cambria Math"/>
                      <w:b w:val="0"/>
                      <w:color w:val="000000"/>
                    </w:rPr>
                  </m:ctrlPr>
                </m:e>
                <m:sub>
                  <m:r>
                    <m:rPr/>
                    <w:rPr>
                      <w:rFonts w:ascii="Cambria Math" w:hAnsi="Cambria Math"/>
                      <w:color w:val="000000"/>
                    </w:rPr>
                    <m:t>q</m:t>
                  </m:r>
                  <m:ctrlPr>
                    <w:rPr>
                      <w:rFonts w:ascii="Cambria Math" w:hAnsi="Cambria Math"/>
                      <w:b w:val="0"/>
                      <w:color w:val="000000"/>
                    </w:rPr>
                  </m:ctrlPr>
                </m:sub>
              </m:sSub>
            </m:oMath>
            <w:r>
              <w:rPr>
                <w:rFonts w:cs="Times New Roman"/>
                <w:b w:val="0"/>
                <w:vanish/>
                <w:color w:val="000000"/>
                <w:sz w:val="19"/>
              </w:rPr>
              <w:t>[AxMath LaTeX: X_q]</w:t>
            </w:r>
          </w:p>
        </w:tc>
        <w:tc>
          <w:tcPr>
            <w:tcW w:w="6022" w:type="dxa"/>
            <w:tcBorders>
              <w:top w:val="nil"/>
              <w:left w:val="nil"/>
              <w:bottom w:val="nil"/>
              <w:right w:val="nil"/>
            </w:tcBorders>
            <w:shd w:val="clear" w:color="auto" w:fill="FFFFFF"/>
            <w:vAlign w:val="center"/>
          </w:tcPr>
          <w:p w14:paraId="4163A71F">
            <w:pPr>
              <w:spacing w:line="276" w:lineRule="auto"/>
              <w:ind w:firstLine="0"/>
              <w:jc w:val="center"/>
              <w:rPr>
                <w:b w:val="0"/>
                <w:color w:val="000000"/>
              </w:rPr>
            </w:pPr>
            <w:r>
              <w:rPr>
                <w:rFonts w:cs="Times New Roman"/>
                <w:b w:val="0"/>
                <w:color w:val="000000"/>
                <w:sz w:val="19"/>
              </w:rPr>
              <w:t>原综评Top-q成员退出候选Top-q的比例</w:t>
            </w:r>
          </w:p>
        </w:tc>
      </w:tr>
      <w:tr w14:paraId="532A2DBE">
        <w:trPr>
          <w:jc w:val="center"/>
        </w:trPr>
        <w:tc>
          <w:tcPr>
            <w:tcW w:w="2936" w:type="dxa"/>
            <w:tcBorders>
              <w:top w:val="nil"/>
              <w:left w:val="nil"/>
              <w:bottom w:val="nil"/>
              <w:right w:val="nil"/>
            </w:tcBorders>
            <w:shd w:val="clear" w:color="auto" w:fill="FFFFFF"/>
            <w:vAlign w:val="center"/>
          </w:tcPr>
          <w:p w14:paraId="0D3928D3">
            <w:pPr>
              <w:spacing w:line="276" w:lineRule="auto"/>
              <w:ind w:firstLine="0"/>
              <w:jc w:val="center"/>
              <w:rPr>
                <w:b w:val="0"/>
                <w:color w:val="000000"/>
              </w:rPr>
            </w:pPr>
            <m:oMath>
              <m:sSub>
                <m:sSubPr>
                  <m:ctrlPr>
                    <w:rPr>
                      <w:rFonts w:ascii="Cambria Math" w:hAnsi="Cambria Math"/>
                      <w:b w:val="0"/>
                      <w:color w:val="000000"/>
                    </w:rPr>
                  </m:ctrlPr>
                </m:sSubPr>
                <m:e>
                  <m:r>
                    <m:rPr/>
                    <w:rPr>
                      <w:rFonts w:ascii="Cambria Math" w:hAnsi="Cambria Math"/>
                      <w:color w:val="000000"/>
                    </w:rPr>
                    <m:t>K</m:t>
                  </m:r>
                  <m:ctrlPr>
                    <w:rPr>
                      <w:rFonts w:ascii="Cambria Math" w:hAnsi="Cambria Math"/>
                      <w:b w:val="0"/>
                      <w:color w:val="000000"/>
                    </w:rPr>
                  </m:ctrlPr>
                </m:e>
                <m:sub>
                  <m:r>
                    <m:rPr/>
                    <w:rPr>
                      <w:rFonts w:ascii="Cambria Math" w:hAnsi="Cambria Math"/>
                      <w:color w:val="000000"/>
                    </w:rPr>
                    <m:t>q</m:t>
                  </m:r>
                  <m:ctrlPr>
                    <w:rPr>
                      <w:rFonts w:ascii="Cambria Math" w:hAnsi="Cambria Math"/>
                      <w:b w:val="0"/>
                      <w:color w:val="000000"/>
                    </w:rPr>
                  </m:ctrlPr>
                </m:sub>
              </m:sSub>
            </m:oMath>
            <w:r>
              <w:rPr>
                <w:rFonts w:cs="Times New Roman"/>
                <w:b w:val="0"/>
                <w:vanish/>
                <w:color w:val="000000"/>
                <w:sz w:val="19"/>
              </w:rPr>
              <w:t>[AxMath LaTeX: K_q]</w:t>
            </w:r>
          </w:p>
        </w:tc>
        <w:tc>
          <w:tcPr>
            <w:tcW w:w="6022" w:type="dxa"/>
            <w:tcBorders>
              <w:top w:val="nil"/>
              <w:left w:val="nil"/>
              <w:bottom w:val="nil"/>
              <w:right w:val="nil"/>
            </w:tcBorders>
            <w:shd w:val="clear" w:color="auto" w:fill="FFFFFF"/>
            <w:vAlign w:val="center"/>
          </w:tcPr>
          <w:p w14:paraId="7A3EB81D">
            <w:pPr>
              <w:spacing w:line="276" w:lineRule="auto"/>
              <w:ind w:firstLine="0"/>
              <w:jc w:val="center"/>
              <w:rPr>
                <w:b w:val="0"/>
                <w:color w:val="000000"/>
              </w:rPr>
            </w:pPr>
            <w:r>
              <w:rPr>
                <w:rFonts w:cs="Times New Roman"/>
                <w:b w:val="0"/>
                <w:color w:val="000000"/>
                <w:sz w:val="19"/>
              </w:rPr>
              <w:t>原非智育补偿成员在候选Top-q中的留存率</w:t>
            </w:r>
          </w:p>
        </w:tc>
      </w:tr>
      <w:tr w14:paraId="34851DDD">
        <w:trPr>
          <w:jc w:val="center"/>
        </w:trPr>
        <w:tc>
          <w:tcPr>
            <w:tcW w:w="2936" w:type="dxa"/>
            <w:tcBorders>
              <w:top w:val="nil"/>
              <w:left w:val="nil"/>
              <w:bottom w:val="nil"/>
              <w:right w:val="nil"/>
            </w:tcBorders>
            <w:shd w:val="clear" w:color="auto" w:fill="FFFFFF"/>
            <w:vAlign w:val="center"/>
          </w:tcPr>
          <w:p w14:paraId="1429B083">
            <w:pPr>
              <w:spacing w:line="276" w:lineRule="auto"/>
              <w:ind w:firstLine="0"/>
              <w:jc w:val="center"/>
              <w:rPr>
                <w:b w:val="0"/>
                <w:color w:val="000000"/>
              </w:rPr>
            </w:pPr>
            <m:oMath>
              <m:sSub>
                <m:sSubPr>
                  <m:ctrlPr>
                    <w:rPr>
                      <w:rFonts w:ascii="Cambria Math" w:hAnsi="Cambria Math"/>
                      <w:b w:val="0"/>
                      <w:color w:val="000000"/>
                    </w:rPr>
                  </m:ctrlPr>
                </m:sSubPr>
                <m:e>
                  <m:r>
                    <m:rPr/>
                    <w:rPr>
                      <w:rFonts w:ascii="Cambria Math" w:hAnsi="Cambria Math"/>
                      <w:color w:val="000000"/>
                    </w:rPr>
                    <m:t>C</m:t>
                  </m:r>
                  <m:ctrlPr>
                    <w:rPr>
                      <w:rFonts w:ascii="Cambria Math" w:hAnsi="Cambria Math"/>
                      <w:b w:val="0"/>
                      <w:color w:val="000000"/>
                    </w:rPr>
                  </m:ctrlPr>
                </m:e>
                <m:sub>
                  <m:r>
                    <m:rPr/>
                    <w:rPr>
                      <w:rFonts w:ascii="Cambria Math" w:hAnsi="Cambria Math"/>
                      <w:color w:val="000000"/>
                    </w:rPr>
                    <m:t>S</m:t>
                  </m:r>
                  <m:ctrlPr>
                    <w:rPr>
                      <w:rFonts w:ascii="Cambria Math" w:hAnsi="Cambria Math"/>
                      <w:b w:val="0"/>
                      <w:color w:val="000000"/>
                    </w:rPr>
                  </m:ctrlPr>
                </m:sub>
              </m:sSub>
              <m:r>
                <m:rPr/>
                <w:rPr>
                  <w:rFonts w:ascii="Cambria Math" w:hAnsi="Cambria Math"/>
                  <w:color w:val="000000"/>
                </w:rPr>
                <m:t>,</m:t>
              </m:r>
              <m:sSub>
                <m:sSubPr>
                  <m:ctrlPr>
                    <w:rPr>
                      <w:rFonts w:ascii="Cambria Math" w:hAnsi="Cambria Math"/>
                      <w:b w:val="0"/>
                      <w:color w:val="000000"/>
                    </w:rPr>
                  </m:ctrlPr>
                </m:sSubPr>
                <m:e>
                  <m:r>
                    <m:rPr/>
                    <w:rPr>
                      <w:rFonts w:ascii="Cambria Math" w:hAnsi="Cambria Math"/>
                      <w:color w:val="000000"/>
                    </w:rPr>
                    <m:t>C</m:t>
                  </m:r>
                  <m:ctrlPr>
                    <w:rPr>
                      <w:rFonts w:ascii="Cambria Math" w:hAnsi="Cambria Math"/>
                      <w:b w:val="0"/>
                      <w:color w:val="000000"/>
                    </w:rPr>
                  </m:ctrlPr>
                </m:e>
                <m:sub>
                  <m:r>
                    <m:rPr/>
                    <w:rPr>
                      <w:rFonts w:ascii="Cambria Math" w:hAnsi="Cambria Math"/>
                      <w:color w:val="000000"/>
                    </w:rPr>
                    <m:t>E</m:t>
                  </m:r>
                  <m:ctrlPr>
                    <w:rPr>
                      <w:rFonts w:ascii="Cambria Math" w:hAnsi="Cambria Math"/>
                      <w:b w:val="0"/>
                      <w:color w:val="000000"/>
                    </w:rPr>
                  </m:ctrlPr>
                </m:sub>
              </m:sSub>
            </m:oMath>
            <w:r>
              <w:rPr>
                <w:rFonts w:cs="Times New Roman"/>
                <w:b w:val="0"/>
                <w:vanish/>
                <w:color w:val="000000"/>
                <w:sz w:val="19"/>
              </w:rPr>
              <w:t>[AxMath LaTeX: C_S,C_E]</w:t>
            </w:r>
          </w:p>
        </w:tc>
        <w:tc>
          <w:tcPr>
            <w:tcW w:w="6022" w:type="dxa"/>
            <w:tcBorders>
              <w:top w:val="nil"/>
              <w:left w:val="nil"/>
              <w:bottom w:val="nil"/>
              <w:right w:val="nil"/>
            </w:tcBorders>
            <w:shd w:val="clear" w:color="auto" w:fill="FFFFFF"/>
            <w:vAlign w:val="center"/>
          </w:tcPr>
          <w:p w14:paraId="70FCFD0F">
            <w:pPr>
              <w:spacing w:line="276" w:lineRule="auto"/>
              <w:ind w:firstLine="0"/>
              <w:jc w:val="center"/>
              <w:rPr>
                <w:b w:val="0"/>
                <w:color w:val="000000"/>
              </w:rPr>
            </w:pPr>
            <w:r>
              <w:rPr>
                <w:rFonts w:cs="Times New Roman"/>
                <w:b w:val="0"/>
                <w:color w:val="000000"/>
                <w:sz w:val="19"/>
              </w:rPr>
              <w:t>Strict合法学院集合与Extended合法组别集合</w:t>
            </w:r>
          </w:p>
        </w:tc>
      </w:tr>
      <w:tr w14:paraId="2D24E4DD">
        <w:trPr>
          <w:jc w:val="center"/>
        </w:trPr>
        <w:tc>
          <w:tcPr>
            <w:tcW w:w="2936" w:type="dxa"/>
            <w:tcBorders>
              <w:top w:val="nil"/>
              <w:left w:val="nil"/>
              <w:bottom w:val="single" w:color="000000" w:sz="12" w:space="0"/>
              <w:right w:val="nil"/>
            </w:tcBorders>
            <w:shd w:val="clear" w:color="auto" w:fill="FFFFFF"/>
            <w:vAlign w:val="center"/>
          </w:tcPr>
          <w:p w14:paraId="71D77309">
            <w:pPr>
              <w:spacing w:line="276" w:lineRule="auto"/>
              <w:ind w:firstLine="0"/>
              <w:jc w:val="center"/>
              <w:rPr>
                <w:b w:val="0"/>
                <w:color w:val="000000"/>
              </w:rPr>
            </w:pPr>
            <m:oMath>
              <m:sSubSup>
                <m:sSubSupPr>
                  <m:ctrlPr>
                    <w:rPr>
                      <w:rFonts w:ascii="Cambria Math" w:hAnsi="Cambria Math"/>
                      <w:b w:val="0"/>
                      <w:color w:val="000000"/>
                    </w:rPr>
                  </m:ctrlPr>
                </m:sSubSupPr>
                <m:e>
                  <m:r>
                    <m:rPr/>
                    <w:rPr>
                      <w:rFonts w:ascii="Cambria Math" w:hAnsi="Cambria Math"/>
                      <w:color w:val="000000"/>
                    </w:rPr>
                    <m:t>K</m:t>
                  </m:r>
                  <m:ctrlPr>
                    <w:rPr>
                      <w:rFonts w:ascii="Cambria Math" w:hAnsi="Cambria Math"/>
                      <w:b w:val="0"/>
                      <w:color w:val="000000"/>
                    </w:rPr>
                  </m:ctrlPr>
                </m:e>
                <m:sub>
                  <m:r>
                    <m:rPr/>
                    <w:rPr>
                      <w:rFonts w:ascii="Cambria Math" w:hAnsi="Cambria Math"/>
                      <w:color w:val="000000"/>
                    </w:rPr>
                    <m:t>20,min</m:t>
                  </m:r>
                  <m:ctrlPr>
                    <w:rPr>
                      <w:rFonts w:ascii="Cambria Math" w:hAnsi="Cambria Math"/>
                      <w:b w:val="0"/>
                      <w:color w:val="000000"/>
                    </w:rPr>
                  </m:ctrlPr>
                </m:sub>
                <m:sup>
                  <m:d>
                    <m:dPr>
                      <m:ctrlPr>
                        <w:rPr>
                          <w:rFonts w:ascii="Cambria Math" w:hAnsi="Cambria Math"/>
                          <w:b w:val="0"/>
                          <w:color w:val="000000"/>
                        </w:rPr>
                      </m:ctrlPr>
                    </m:dPr>
                    <m:e>
                      <m:r>
                        <m:rPr/>
                        <w:rPr>
                          <w:rFonts w:ascii="Cambria Math" w:hAnsi="Cambria Math"/>
                          <w:color w:val="000000"/>
                        </w:rPr>
                        <m:t>S</m:t>
                      </m:r>
                      <m:ctrlPr>
                        <w:rPr>
                          <w:rFonts w:ascii="Cambria Math" w:hAnsi="Cambria Math"/>
                          <w:b w:val="0"/>
                          <w:color w:val="000000"/>
                        </w:rPr>
                      </m:ctrlPr>
                    </m:e>
                  </m:d>
                  <m:ctrlPr>
                    <w:rPr>
                      <w:rFonts w:ascii="Cambria Math" w:hAnsi="Cambria Math"/>
                      <w:b w:val="0"/>
                      <w:color w:val="000000"/>
                    </w:rPr>
                  </m:ctrlPr>
                </m:sup>
              </m:sSubSup>
              <m:r>
                <m:rPr/>
                <w:rPr>
                  <w:rFonts w:ascii="Cambria Math" w:hAnsi="Cambria Math"/>
                  <w:color w:val="000000"/>
                </w:rPr>
                <m:t>,</m:t>
              </m:r>
              <m:sSubSup>
                <m:sSubSupPr>
                  <m:ctrlPr>
                    <w:rPr>
                      <w:rFonts w:ascii="Cambria Math" w:hAnsi="Cambria Math"/>
                      <w:b w:val="0"/>
                      <w:color w:val="000000"/>
                    </w:rPr>
                  </m:ctrlPr>
                </m:sSubSupPr>
                <m:e>
                  <m:r>
                    <m:rPr/>
                    <w:rPr>
                      <w:rFonts w:ascii="Cambria Math" w:hAnsi="Cambria Math"/>
                      <w:color w:val="000000"/>
                    </w:rPr>
                    <m:t>K</m:t>
                  </m:r>
                  <m:ctrlPr>
                    <w:rPr>
                      <w:rFonts w:ascii="Cambria Math" w:hAnsi="Cambria Math"/>
                      <w:b w:val="0"/>
                      <w:color w:val="000000"/>
                    </w:rPr>
                  </m:ctrlPr>
                </m:e>
                <m:sub>
                  <m:r>
                    <m:rPr/>
                    <w:rPr>
                      <w:rFonts w:ascii="Cambria Math" w:hAnsi="Cambria Math"/>
                      <w:color w:val="000000"/>
                    </w:rPr>
                    <m:t>20,min</m:t>
                  </m:r>
                  <m:ctrlPr>
                    <w:rPr>
                      <w:rFonts w:ascii="Cambria Math" w:hAnsi="Cambria Math"/>
                      <w:b w:val="0"/>
                      <w:color w:val="000000"/>
                    </w:rPr>
                  </m:ctrlPr>
                </m:sub>
                <m:sup>
                  <m:d>
                    <m:dPr>
                      <m:ctrlPr>
                        <w:rPr>
                          <w:rFonts w:ascii="Cambria Math" w:hAnsi="Cambria Math"/>
                          <w:b w:val="0"/>
                          <w:color w:val="000000"/>
                        </w:rPr>
                      </m:ctrlPr>
                    </m:dPr>
                    <m:e>
                      <m:r>
                        <m:rPr/>
                        <w:rPr>
                          <w:rFonts w:ascii="Cambria Math" w:hAnsi="Cambria Math"/>
                          <w:color w:val="000000"/>
                        </w:rPr>
                        <m:t>E</m:t>
                      </m:r>
                      <m:ctrlPr>
                        <w:rPr>
                          <w:rFonts w:ascii="Cambria Math" w:hAnsi="Cambria Math"/>
                          <w:b w:val="0"/>
                          <w:color w:val="000000"/>
                        </w:rPr>
                      </m:ctrlPr>
                    </m:e>
                  </m:d>
                  <m:ctrlPr>
                    <w:rPr>
                      <w:rFonts w:ascii="Cambria Math" w:hAnsi="Cambria Math"/>
                      <w:b w:val="0"/>
                      <w:color w:val="000000"/>
                    </w:rPr>
                  </m:ctrlPr>
                </m:sup>
              </m:sSubSup>
            </m:oMath>
            <w:r>
              <w:rPr>
                <w:rFonts w:cs="Times New Roman"/>
                <w:b w:val="0"/>
                <w:vanish/>
                <w:color w:val="000000"/>
                <w:sz w:val="19"/>
              </w:rPr>
              <w:t>[AxMath LaTeX: K_{20,\min}^{(S)},K_{20,\min}^{(E)}]</w:t>
            </w:r>
          </w:p>
        </w:tc>
        <w:tc>
          <w:tcPr>
            <w:tcW w:w="6022" w:type="dxa"/>
            <w:tcBorders>
              <w:top w:val="nil"/>
              <w:left w:val="nil"/>
              <w:bottom w:val="single" w:color="000000" w:sz="12" w:space="0"/>
              <w:right w:val="nil"/>
            </w:tcBorders>
            <w:shd w:val="clear" w:color="auto" w:fill="FFFFFF"/>
            <w:vAlign w:val="center"/>
          </w:tcPr>
          <w:p w14:paraId="0C36CB60">
            <w:pPr>
              <w:spacing w:line="276" w:lineRule="auto"/>
              <w:ind w:firstLine="0"/>
              <w:jc w:val="center"/>
              <w:rPr>
                <w:b w:val="0"/>
                <w:color w:val="000000"/>
              </w:rPr>
            </w:pPr>
            <w:r>
              <w:rPr>
                <w:rFonts w:cs="Times New Roman"/>
                <w:b w:val="0"/>
                <w:color w:val="000000"/>
                <w:sz w:val="19"/>
              </w:rPr>
              <w:t>Strict与Extended的组别最低补偿留存</w:t>
            </w:r>
          </w:p>
        </w:tc>
      </w:tr>
    </w:tbl>
    <w:p w14:paraId="7B6CB498"/>
    <w:p w14:paraId="5E293682"/>
    <w:sectPr>
      <w:footerReference r:id="rId5" w:type="default"/>
      <w:pgSz w:w="11906" w:h="16838"/>
      <w:pgMar w:top="1417" w:right="1417" w:bottom="1417" w:left="1531" w:header="737" w:footer="73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2000019F" w:csb1="00000000"/>
  </w:font>
  <w:font w:name="ＭＳ 明朝">
    <w:altName w:val="Hiragino Sans"/>
    <w:panose1 w:val="00000000000000000000"/>
    <w:charset w:val="86"/>
    <w:family w:val="auto"/>
    <w:pitch w:val="default"/>
    <w:sig w:usb0="00000000" w:usb1="00000000" w:usb2="00000000" w:usb3="00000000" w:csb0="0000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409020205020404"/>
    <w:charset w:val="00"/>
    <w:family w:val="auto"/>
    <w:pitch w:val="default"/>
    <w:sig w:usb0="00000000" w:usb1="00000000" w:usb2="00000000" w:usb3="00000000" w:csb0="00000001" w:csb1="00000000"/>
  </w:font>
  <w:font w:name="Cambria Math">
    <w:altName w:val="Kingsoft Math"/>
    <w:panose1 w:val="02040503050406030204"/>
    <w:charset w:val="00"/>
    <w:family w:val="roman"/>
    <w:pitch w:val="default"/>
    <w:sig w:usb0="00000000" w:usb1="00000000" w:usb2="02000000" w:usb3="00000000" w:csb0="2000019F" w:csb1="00000000"/>
  </w:font>
  <w:font w:name="方正小标宋简体">
    <w:altName w:val="汉仪书宋二KW"/>
    <w:panose1 w:val="02010601030101010101"/>
    <w:charset w:val="86"/>
    <w:family w:val="auto"/>
    <w:pitch w:val="default"/>
    <w:sig w:usb0="00000000" w:usb1="00000000" w:usb2="00000000" w:usb3="00000000" w:csb0="0004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Kingsoft Math">
    <w:panose1 w:val="02040503050406030204"/>
    <w:charset w:val="00"/>
    <w:family w:val="auto"/>
    <w:pitch w:val="default"/>
    <w:sig w:usb0="80000087" w:usb1="00002068" w:usb2="00000000" w:usb3="00000000" w:csb0="2000019F"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969AD">
    <w:pPr>
      <w:pStyle w:val="24"/>
      <w:jc w:val="center"/>
    </w:pPr>
    <w:r>
      <w:rPr>
        <w:rFonts w:cs="Times New Roman"/>
        <w:sz w:val="21"/>
      </w:rPr>
      <w:fldChar w:fldCharType="begin"/>
    </w:r>
    <w:r>
      <w:rPr>
        <w:rFonts w:cs="Times New Roman"/>
        <w:sz w:val="21"/>
      </w:rPr>
      <w:instrText xml:space="preserve">PAGE</w:instrText>
    </w:r>
    <w:r>
      <w:rPr>
        <w:rFonts w:cs="Times New Roman"/>
        <w:sz w:val="21"/>
      </w:rPr>
      <w:fldChar w:fldCharType="separate"/>
    </w:r>
    <w:r>
      <w:rPr>
        <w:rFonts w:cs="Times New Roman"/>
        <w:sz w:val="21"/>
      </w:rPr>
      <w:t>1</w:t>
    </w:r>
    <w:r>
      <w:rPr>
        <w:rFonts w:cs="Times New Roman"/>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B7FA8"/>
    <w:rsid w:val="00AA1D8D"/>
    <w:rsid w:val="00B47730"/>
    <w:rsid w:val="00BE6C5C"/>
    <w:rsid w:val="00C35B5F"/>
    <w:rsid w:val="00CB0664"/>
    <w:rsid w:val="00E762B7"/>
    <w:rsid w:val="00FC693F"/>
    <w:rsid w:val="5EF95015"/>
    <w:rsid w:val="7FFBD544"/>
    <w:rsid w:val="E25370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ind w:firstLine="420"/>
      <w:jc w:val="both"/>
    </w:pPr>
    <w:rPr>
      <w:rFonts w:ascii="Times New Roman" w:hAnsi="Times New Roman" w:eastAsia="宋体" w:cstheme="minorBidi"/>
      <w:sz w:val="24"/>
      <w:szCs w:val="22"/>
      <w:lang w:val="en-US" w:eastAsia="en-US" w:bidi="ar-SA"/>
    </w:rPr>
  </w:style>
  <w:style w:type="paragraph" w:styleId="3">
    <w:name w:val="heading 1"/>
    <w:basedOn w:val="1"/>
    <w:next w:val="1"/>
    <w:link w:val="141"/>
    <w:qFormat/>
    <w:uiPriority w:val="9"/>
    <w:pPr>
      <w:keepNext/>
      <w:keepLines/>
      <w:spacing w:before="360" w:after="18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2"/>
    <w:unhideWhenUsed/>
    <w:qFormat/>
    <w:uiPriority w:val="9"/>
    <w:pPr>
      <w:keepNext/>
      <w:keepLines/>
      <w:spacing w:before="240" w:after="12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3"/>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before="80" w:after="160" w:line="240" w:lineRule="auto"/>
      <w:ind w:firstLine="0"/>
      <w:jc w:val="center"/>
    </w:pPr>
    <w:rPr>
      <w:b/>
      <w:bCs/>
      <w:color w:val="000000"/>
      <w:sz w:val="21"/>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9"/>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7"/>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9"/>
    <w:unhideWhenUsed/>
    <w:uiPriority w:val="99"/>
    <w:pPr>
      <w:tabs>
        <w:tab w:val="center" w:pos="4680"/>
        <w:tab w:val="right" w:pos="9360"/>
      </w:tabs>
      <w:spacing w:line="240" w:lineRule="auto"/>
    </w:pPr>
  </w:style>
  <w:style w:type="paragraph" w:styleId="25">
    <w:name w:val="header"/>
    <w:basedOn w:val="1"/>
    <w:link w:val="138"/>
    <w:unhideWhenUsed/>
    <w:uiPriority w:val="99"/>
    <w:pPr>
      <w:tabs>
        <w:tab w:val="center" w:pos="4680"/>
        <w:tab w:val="right" w:pos="9360"/>
      </w:tabs>
      <w:spacing w:line="240" w:lineRule="auto"/>
    </w:pPr>
  </w:style>
  <w:style w:type="paragraph" w:styleId="26">
    <w:name w:val="toc 1"/>
    <w:basedOn w:val="1"/>
    <w:next w:val="1"/>
    <w:autoRedefine/>
    <w:unhideWhenUsed/>
    <w:uiPriority w:val="39"/>
  </w:style>
  <w:style w:type="paragraph" w:styleId="27">
    <w:name w:val="Subtitle"/>
    <w:basedOn w:val="1"/>
    <w:next w:val="1"/>
    <w:link w:val="145"/>
    <w:qFormat/>
    <w:uiPriority w:val="11"/>
    <w:pPr>
      <w:ind w:firstLine="420"/>
    </w:pPr>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toc 2"/>
    <w:basedOn w:val="1"/>
    <w:next w:val="1"/>
    <w:autoRedefine/>
    <w:unhideWhenUsed/>
    <w:uiPriority w:val="39"/>
    <w:pPr>
      <w:ind w:left="420" w:leftChars="200"/>
    </w:pPr>
  </w:style>
  <w:style w:type="paragraph" w:styleId="30">
    <w:name w:val="Body Text 2"/>
    <w:basedOn w:val="1"/>
    <w:link w:val="148"/>
    <w:unhideWhenUsed/>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Hyperlink"/>
    <w:basedOn w:val="134"/>
    <w:unhideWhenUsed/>
    <w:uiPriority w:val="99"/>
    <w:rPr>
      <w:color w:val="0000FF" w:themeColor="hyperlink"/>
      <w:u w:val="single"/>
      <w14:textFill>
        <w14:solidFill>
          <w14:schemeClr w14:val="hlink"/>
        </w14:solidFill>
      </w14:textFill>
    </w:rPr>
  </w:style>
  <w:style w:type="character" w:customStyle="1" w:styleId="138">
    <w:name w:val="页眉 字符"/>
    <w:basedOn w:val="134"/>
    <w:link w:val="25"/>
    <w:uiPriority w:val="99"/>
  </w:style>
  <w:style w:type="character" w:customStyle="1" w:styleId="139">
    <w:name w:val="页脚 字符"/>
    <w:basedOn w:val="134"/>
    <w:link w:val="24"/>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3"/>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19"/>
    <w:uiPriority w:val="99"/>
  </w:style>
  <w:style w:type="character" w:customStyle="1" w:styleId="148">
    <w:name w:val="正文文本 2 字符"/>
    <w:basedOn w:val="134"/>
    <w:link w:val="30"/>
    <w:uiPriority w:val="99"/>
  </w:style>
  <w:style w:type="character" w:customStyle="1" w:styleId="149">
    <w:name w:val="正文文本 3 字符"/>
    <w:basedOn w:val="134"/>
    <w:link w:val="17"/>
    <w:uiPriority w:val="99"/>
    <w:rPr>
      <w:sz w:val="16"/>
      <w:szCs w:val="16"/>
    </w:rPr>
  </w:style>
  <w:style w:type="character" w:customStyle="1" w:styleId="150">
    <w:name w:val="宏文本 字符"/>
    <w:basedOn w:val="134"/>
    <w:link w:val="2"/>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uiPriority w:val="29"/>
    <w:rPr>
      <w:i/>
      <w:iCs/>
      <w:color w:val="000000" w:themeColor="text1"/>
      <w14:textFill>
        <w14:solidFill>
          <w14:schemeClr w14:val="tx1"/>
        </w14:solidFill>
      </w14:textFill>
    </w:rPr>
  </w:style>
  <w:style w:type="character" w:customStyle="1" w:styleId="153">
    <w:name w:val="标题 4 字符"/>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paragraph" w:customStyle="1" w:styleId="167">
    <w:name w:val="AxMath LaTeX"/>
    <w:uiPriority w:val="0"/>
    <w:pPr>
      <w:keepLines/>
      <w:spacing w:before="100" w:after="100" w:line="276" w:lineRule="auto"/>
      <w:ind w:left="283" w:right="283"/>
      <w:jc w:val="center"/>
    </w:pPr>
    <w:rPr>
      <w:rFonts w:ascii="Cambria Math" w:hAnsi="Cambria Math" w:eastAsia="宋体" w:cstheme="minorBidi"/>
      <w:sz w:val="22"/>
      <w:szCs w:val="22"/>
      <w:lang w:val="en-US" w:eastAsia="en-US" w:bidi="ar-SA"/>
    </w:rPr>
  </w:style>
  <w:style w:type="paragraph" w:customStyle="1" w:styleId="168">
    <w:name w:val="TOC 11"/>
    <w:uiPriority w:val="0"/>
    <w:pPr>
      <w:spacing w:after="40" w:line="240" w:lineRule="auto"/>
    </w:pPr>
    <w:rPr>
      <w:rFonts w:ascii="Times New Roman" w:hAnsi="Times New Roman" w:eastAsia="宋体" w:cstheme="minorBidi"/>
      <w:b/>
      <w:color w:val="000000"/>
      <w:sz w:val="21"/>
      <w:szCs w:val="22"/>
      <w:lang w:val="en-US" w:eastAsia="en-US" w:bidi="ar-SA"/>
    </w:rPr>
  </w:style>
  <w:style w:type="paragraph" w:customStyle="1" w:styleId="169">
    <w:name w:val="TOC 21"/>
    <w:uiPriority w:val="0"/>
    <w:pPr>
      <w:spacing w:after="40" w:line="240" w:lineRule="auto"/>
      <w:ind w:left="227"/>
    </w:pPr>
    <w:rPr>
      <w:rFonts w:ascii="Times New Roman" w:hAnsi="Times New Roman" w:eastAsia="宋体" w:cstheme="minorBidi"/>
      <w:color w:val="000000"/>
      <w:sz w:val="21"/>
      <w:szCs w:val="22"/>
      <w:lang w:val="en-US" w:eastAsia="en-US" w:bidi="ar-SA"/>
    </w:rPr>
  </w:style>
  <w:style w:type="paragraph" w:customStyle="1" w:styleId="170">
    <w:name w:val="TOC 31"/>
    <w:uiPriority w:val="0"/>
    <w:pPr>
      <w:spacing w:after="40" w:line="240" w:lineRule="auto"/>
      <w:ind w:left="454"/>
    </w:pPr>
    <w:rPr>
      <w:rFonts w:ascii="Times New Roman" w:hAnsi="Times New Roman" w:eastAsia="宋体" w:cstheme="minorBidi"/>
      <w:color w:val="000000"/>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sv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4.sv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svg"/><Relationship Id="rId17" Type="http://schemas.openxmlformats.org/officeDocument/2006/relationships/image" Target="media/image11.png"/><Relationship Id="rId16" Type="http://schemas.openxmlformats.org/officeDocument/2006/relationships/image" Target="media/image10.svg"/><Relationship Id="rId15" Type="http://schemas.openxmlformats.org/officeDocument/2006/relationships/image" Target="media/image9.png"/><Relationship Id="rId14" Type="http://schemas.openxmlformats.org/officeDocument/2006/relationships/image" Target="media/image8.svg"/><Relationship Id="rId13" Type="http://schemas.openxmlformats.org/officeDocument/2006/relationships/image" Target="media/image7.png"/><Relationship Id="rId12" Type="http://schemas.openxmlformats.org/officeDocument/2006/relationships/image" Target="media/image6.svg"/><Relationship Id="rId11" Type="http://schemas.openxmlformats.org/officeDocument/2006/relationships/image" Target="media/image5.png"/><Relationship Id="rId10" Type="http://schemas.openxmlformats.org/officeDocument/2006/relationships/image" Target="media/image4.sv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1609</Words>
  <Characters>1941</Characters>
  <Lines>847</Lines>
  <Paragraphs>882</Paragraphs>
  <TotalTime>0</TotalTime>
  <ScaleCrop>false</ScaleCrop>
  <LinksUpToDate>false</LinksUpToDate>
  <CharactersWithSpaces>2112</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公式为可编辑Word OMML；各处保留AxMath可导入的LaTeX隐藏源码；不是AxMath原生OLE对象。</dc:description>
  <cp:lastModifiedBy>余晓冉</cp:lastModifiedBy>
  <dcterms:modified xsi:type="dcterms:W3CDTF">2026-09-17T19:31:51Z</dcterms:modified>
  <dc:subject>多学院反事实模拟、排序稳定性与多目标约束优化</dc:subject>
  <dc:title>北方民族大学学生综合素质评价权重结构、排序效应与制度优化研究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eyJoZGlkIjoiOGIyMzdiZDMzMTk4Y2ZiNzdhYjJkN2UzZjVmMzg0ZGUiLCJ1c2VySWQiOiIxNzM3NDg0Mzg1In0=</vt:lpwstr>
  </property>
  <property fmtid="{D5CDD505-2E9C-101B-9397-08002B2CF9AE}" pid="3" name="KSOProductBuildVer">
    <vt:lpwstr>2052-12.1.22553.22553</vt:lpwstr>
  </property>
  <property fmtid="{D5CDD505-2E9C-101B-9397-08002B2CF9AE}" pid="4" name="ICV">
    <vt:lpwstr>6DF0F999F611A68AA7CFAB6A3E6C265C_43</vt:lpwstr>
  </property>
</Properties>
</file>